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D7F4" w14:textId="09BD052F" w:rsidR="00D13668" w:rsidRPr="008A46A3" w:rsidRDefault="002228F7" w:rsidP="00092D75">
      <w:pPr>
        <w:spacing w:after="0" w:line="240" w:lineRule="auto"/>
        <w:rPr>
          <w:rFonts w:ascii="Arial" w:hAnsi="Arial" w:cs="Arial"/>
        </w:rPr>
      </w:pPr>
      <w:r w:rsidRPr="008A46A3">
        <w:rPr>
          <w:rFonts w:ascii="Arial" w:hAnsi="Arial" w:cs="Arial"/>
        </w:rPr>
        <w:t>2</w:t>
      </w:r>
      <w:r w:rsidRPr="008A46A3">
        <w:rPr>
          <w:rFonts w:ascii="Arial" w:hAnsi="Arial" w:cs="Arial"/>
          <w:vertAlign w:val="superscript"/>
        </w:rPr>
        <w:t>nd</w:t>
      </w:r>
      <w:r w:rsidRPr="008A46A3">
        <w:rPr>
          <w:rFonts w:ascii="Arial" w:hAnsi="Arial" w:cs="Arial"/>
        </w:rPr>
        <w:t xml:space="preserve"> November 2023</w:t>
      </w:r>
    </w:p>
    <w:p w14:paraId="7358317C" w14:textId="09F8CEBC" w:rsidR="00092D75" w:rsidRPr="008A46A3" w:rsidRDefault="00092D75" w:rsidP="00092D75">
      <w:pPr>
        <w:spacing w:after="0" w:line="240" w:lineRule="auto"/>
        <w:rPr>
          <w:rFonts w:ascii="Arial" w:hAnsi="Arial" w:cs="Arial"/>
        </w:rPr>
      </w:pPr>
    </w:p>
    <w:p w14:paraId="07A0E0E3" w14:textId="77777777" w:rsidR="008C41AD" w:rsidRPr="008A46A3" w:rsidRDefault="008C41AD" w:rsidP="008C41AD">
      <w:pPr>
        <w:spacing w:after="0" w:line="240" w:lineRule="auto"/>
        <w:rPr>
          <w:rFonts w:ascii="Arial" w:hAnsi="Arial" w:cs="Arial"/>
          <w:b/>
          <w:bCs/>
          <w:u w:val="single"/>
        </w:rPr>
      </w:pPr>
      <w:r w:rsidRPr="008A46A3">
        <w:rPr>
          <w:rFonts w:ascii="Arial" w:hAnsi="Arial" w:cs="Arial"/>
          <w:b/>
          <w:bCs/>
          <w:u w:val="single"/>
        </w:rPr>
        <w:t>Appeal by: Hollins Strategic Land</w:t>
      </w:r>
    </w:p>
    <w:p w14:paraId="34328055" w14:textId="41E0274D" w:rsidR="00103471" w:rsidRPr="008A46A3" w:rsidRDefault="008C41AD" w:rsidP="008C41AD">
      <w:pPr>
        <w:spacing w:after="0" w:line="240" w:lineRule="auto"/>
        <w:rPr>
          <w:rFonts w:ascii="Arial" w:hAnsi="Arial" w:cs="Arial"/>
          <w:b/>
          <w:bCs/>
          <w:u w:val="single"/>
        </w:rPr>
      </w:pPr>
      <w:r w:rsidRPr="008A46A3">
        <w:rPr>
          <w:rFonts w:ascii="Arial" w:hAnsi="Arial" w:cs="Arial"/>
          <w:b/>
          <w:bCs/>
          <w:u w:val="single"/>
        </w:rPr>
        <w:t xml:space="preserve">Land west of Garstang </w:t>
      </w:r>
      <w:proofErr w:type="gramStart"/>
      <w:r w:rsidRPr="008A46A3">
        <w:rPr>
          <w:rFonts w:ascii="Arial" w:hAnsi="Arial" w:cs="Arial"/>
          <w:b/>
          <w:bCs/>
          <w:u w:val="single"/>
        </w:rPr>
        <w:t>Road,Broughton</w:t>
      </w:r>
      <w:proofErr w:type="gramEnd"/>
      <w:r w:rsidRPr="008A46A3">
        <w:rPr>
          <w:rFonts w:ascii="Arial" w:hAnsi="Arial" w:cs="Arial"/>
          <w:b/>
          <w:bCs/>
          <w:u w:val="single"/>
        </w:rPr>
        <w:t>,Preston,PR3 5JA</w:t>
      </w:r>
    </w:p>
    <w:p w14:paraId="7D949977" w14:textId="77777777" w:rsidR="00084741" w:rsidRPr="008A46A3" w:rsidRDefault="00084741" w:rsidP="00084741">
      <w:pPr>
        <w:spacing w:after="0" w:line="240" w:lineRule="auto"/>
        <w:rPr>
          <w:rFonts w:ascii="Arial" w:hAnsi="Arial" w:cs="Arial"/>
        </w:rPr>
      </w:pPr>
      <w:r w:rsidRPr="008A46A3">
        <w:rPr>
          <w:rFonts w:ascii="Arial" w:hAnsi="Arial" w:cs="Arial"/>
        </w:rPr>
        <w:t>Dear Mr Evans,</w:t>
      </w:r>
    </w:p>
    <w:p w14:paraId="48D06A22" w14:textId="77777777" w:rsidR="00084741" w:rsidRPr="008A46A3" w:rsidRDefault="00084741" w:rsidP="00084741">
      <w:pPr>
        <w:spacing w:after="0" w:line="240" w:lineRule="auto"/>
        <w:rPr>
          <w:rFonts w:ascii="Arial" w:hAnsi="Arial" w:cs="Arial"/>
        </w:rPr>
      </w:pPr>
    </w:p>
    <w:p w14:paraId="7E847696" w14:textId="77777777" w:rsidR="00084741" w:rsidRPr="008A46A3" w:rsidRDefault="00084741" w:rsidP="00084741">
      <w:pPr>
        <w:spacing w:after="0" w:line="240" w:lineRule="auto"/>
        <w:rPr>
          <w:rFonts w:ascii="Arial" w:hAnsi="Arial" w:cs="Arial"/>
        </w:rPr>
      </w:pPr>
      <w:r w:rsidRPr="008A46A3">
        <w:rPr>
          <w:rFonts w:ascii="Arial" w:hAnsi="Arial" w:cs="Arial"/>
        </w:rPr>
        <w:t>With reference to the above Appeal the Parish Council wishes to speak at the appeal and continues to object on the following grounds:</w:t>
      </w:r>
    </w:p>
    <w:p w14:paraId="3AC64956" w14:textId="77777777" w:rsidR="00084741" w:rsidRPr="008A46A3" w:rsidRDefault="00084741" w:rsidP="00084741">
      <w:pPr>
        <w:spacing w:after="0" w:line="240" w:lineRule="auto"/>
        <w:rPr>
          <w:rFonts w:ascii="Arial" w:hAnsi="Arial" w:cs="Arial"/>
        </w:rPr>
      </w:pPr>
      <w:r w:rsidRPr="008A46A3">
        <w:rPr>
          <w:rFonts w:ascii="Arial" w:hAnsi="Arial" w:cs="Arial"/>
        </w:rPr>
        <w:t xml:space="preserve">    </w:t>
      </w:r>
    </w:p>
    <w:p w14:paraId="63F830FF" w14:textId="77777777" w:rsidR="00084741" w:rsidRPr="008A46A3" w:rsidRDefault="00084741" w:rsidP="00084741">
      <w:pPr>
        <w:pStyle w:val="ListParagraph"/>
        <w:numPr>
          <w:ilvl w:val="0"/>
          <w:numId w:val="1"/>
        </w:numPr>
        <w:spacing w:after="0" w:line="240" w:lineRule="auto"/>
        <w:rPr>
          <w:rFonts w:ascii="Arial" w:hAnsi="Arial" w:cs="Arial"/>
          <w:u w:val="single"/>
        </w:rPr>
      </w:pPr>
      <w:r w:rsidRPr="008A46A3">
        <w:rPr>
          <w:rFonts w:ascii="Arial" w:hAnsi="Arial" w:cs="Arial"/>
          <w:u w:val="single"/>
        </w:rPr>
        <w:t>The site was not designated in the Broughton Neighbourhood Plan or within the current Central Lancashire Core Strategy</w:t>
      </w:r>
    </w:p>
    <w:p w14:paraId="437C8ECA" w14:textId="77777777" w:rsidR="00084741" w:rsidRPr="008A46A3" w:rsidRDefault="00084741" w:rsidP="00084741">
      <w:pPr>
        <w:pStyle w:val="ListParagraph"/>
        <w:spacing w:after="0" w:line="240" w:lineRule="auto"/>
        <w:rPr>
          <w:rFonts w:ascii="Arial" w:hAnsi="Arial" w:cs="Arial"/>
          <w:u w:val="single"/>
        </w:rPr>
      </w:pPr>
    </w:p>
    <w:p w14:paraId="1C7EA14B" w14:textId="77777777" w:rsidR="00084741" w:rsidRPr="008A46A3" w:rsidRDefault="00084741" w:rsidP="00084741">
      <w:pPr>
        <w:spacing w:after="0" w:line="240" w:lineRule="auto"/>
        <w:rPr>
          <w:rFonts w:ascii="Arial" w:hAnsi="Arial" w:cs="Arial"/>
        </w:rPr>
      </w:pPr>
      <w:r w:rsidRPr="008A46A3">
        <w:rPr>
          <w:rFonts w:ascii="Arial" w:hAnsi="Arial" w:cs="Arial"/>
        </w:rPr>
        <w:t>The BNDP was adopted by Preston City Council in December 2018 and designated three sites within the parish for development. (8.5 RES1) These were in addition to the sites already designated under the North West Preston Development Area and those with existing planning permission.</w:t>
      </w:r>
    </w:p>
    <w:p w14:paraId="40FE7FC8" w14:textId="77777777" w:rsidR="00084741" w:rsidRPr="008A46A3" w:rsidRDefault="00084741" w:rsidP="00084741">
      <w:pPr>
        <w:spacing w:after="0" w:line="240" w:lineRule="auto"/>
        <w:rPr>
          <w:rFonts w:ascii="Arial" w:hAnsi="Arial" w:cs="Arial"/>
        </w:rPr>
      </w:pPr>
      <w:r w:rsidRPr="008A46A3">
        <w:rPr>
          <w:rFonts w:ascii="Arial" w:hAnsi="Arial" w:cs="Arial"/>
        </w:rPr>
        <w:t>The sites designated in the plan were agreed following work by JBA commissioned by BPC to look at all possible sites within the parish.</w:t>
      </w:r>
    </w:p>
    <w:p w14:paraId="7E78E4B5" w14:textId="77777777" w:rsidR="00084741" w:rsidRPr="008A46A3" w:rsidRDefault="00084741" w:rsidP="00084741">
      <w:pPr>
        <w:spacing w:after="0" w:line="240" w:lineRule="auto"/>
        <w:rPr>
          <w:rFonts w:ascii="Arial" w:hAnsi="Arial" w:cs="Arial"/>
        </w:rPr>
      </w:pPr>
    </w:p>
    <w:tbl>
      <w:tblPr>
        <w:tblStyle w:val="TableGrid"/>
        <w:tblW w:w="0" w:type="auto"/>
        <w:tblLook w:val="04A0" w:firstRow="1" w:lastRow="0" w:firstColumn="1" w:lastColumn="0" w:noHBand="0" w:noVBand="1"/>
      </w:tblPr>
      <w:tblGrid>
        <w:gridCol w:w="6374"/>
        <w:gridCol w:w="992"/>
        <w:gridCol w:w="1650"/>
      </w:tblGrid>
      <w:tr w:rsidR="00084741" w:rsidRPr="008A46A3" w14:paraId="730E1560" w14:textId="77777777" w:rsidTr="00DE1F3F">
        <w:tc>
          <w:tcPr>
            <w:tcW w:w="6374" w:type="dxa"/>
          </w:tcPr>
          <w:p w14:paraId="7EEAF7C6" w14:textId="77777777" w:rsidR="00084741" w:rsidRPr="008A46A3" w:rsidRDefault="00084741" w:rsidP="00DE1F3F">
            <w:pPr>
              <w:spacing w:after="0" w:line="240" w:lineRule="auto"/>
              <w:rPr>
                <w:rFonts w:ascii="Arial" w:hAnsi="Arial" w:cs="Arial"/>
                <w:b/>
              </w:rPr>
            </w:pPr>
            <w:r w:rsidRPr="008A46A3">
              <w:rPr>
                <w:rFonts w:ascii="Arial" w:hAnsi="Arial" w:cs="Arial"/>
                <w:b/>
              </w:rPr>
              <w:t xml:space="preserve">Sites reviewed </w:t>
            </w:r>
          </w:p>
        </w:tc>
        <w:tc>
          <w:tcPr>
            <w:tcW w:w="992" w:type="dxa"/>
          </w:tcPr>
          <w:p w14:paraId="1730693C" w14:textId="77777777" w:rsidR="00084741" w:rsidRPr="008A46A3" w:rsidRDefault="00084741" w:rsidP="00DE1F3F">
            <w:pPr>
              <w:spacing w:after="0" w:line="240" w:lineRule="auto"/>
              <w:rPr>
                <w:rFonts w:ascii="Arial" w:hAnsi="Arial" w:cs="Arial"/>
                <w:b/>
              </w:rPr>
            </w:pPr>
            <w:r w:rsidRPr="008A46A3">
              <w:rPr>
                <w:rFonts w:ascii="Arial" w:hAnsi="Arial" w:cs="Arial"/>
                <w:b/>
              </w:rPr>
              <w:t>JBA code</w:t>
            </w:r>
          </w:p>
        </w:tc>
        <w:tc>
          <w:tcPr>
            <w:tcW w:w="1650" w:type="dxa"/>
          </w:tcPr>
          <w:p w14:paraId="3741D17A" w14:textId="77777777" w:rsidR="00084741" w:rsidRPr="008A46A3" w:rsidRDefault="00084741" w:rsidP="00DE1F3F">
            <w:pPr>
              <w:spacing w:after="0" w:line="240" w:lineRule="auto"/>
              <w:rPr>
                <w:rFonts w:ascii="Arial" w:hAnsi="Arial" w:cs="Arial"/>
                <w:b/>
              </w:rPr>
            </w:pPr>
            <w:r w:rsidRPr="008A46A3">
              <w:rPr>
                <w:rFonts w:ascii="Arial" w:hAnsi="Arial" w:cs="Arial"/>
                <w:b/>
              </w:rPr>
              <w:t>JBA assessment</w:t>
            </w:r>
          </w:p>
        </w:tc>
      </w:tr>
      <w:tr w:rsidR="00084741" w:rsidRPr="008A46A3" w14:paraId="1CF74B90" w14:textId="77777777" w:rsidTr="00DE1F3F">
        <w:tc>
          <w:tcPr>
            <w:tcW w:w="6374" w:type="dxa"/>
          </w:tcPr>
          <w:p w14:paraId="7E56FED4" w14:textId="77777777" w:rsidR="00084741" w:rsidRPr="008A46A3" w:rsidRDefault="00084741" w:rsidP="00DE1F3F">
            <w:pPr>
              <w:spacing w:after="0" w:line="240" w:lineRule="auto"/>
              <w:rPr>
                <w:rFonts w:ascii="Arial" w:hAnsi="Arial" w:cs="Arial"/>
              </w:rPr>
            </w:pPr>
            <w:r w:rsidRPr="008A46A3">
              <w:rPr>
                <w:rFonts w:ascii="Arial" w:hAnsi="Arial" w:cs="Arial"/>
              </w:rPr>
              <w:t>Former Football Pitch</w:t>
            </w:r>
          </w:p>
        </w:tc>
        <w:tc>
          <w:tcPr>
            <w:tcW w:w="992" w:type="dxa"/>
          </w:tcPr>
          <w:p w14:paraId="6A7B0E10" w14:textId="77777777" w:rsidR="00084741" w:rsidRPr="008A46A3" w:rsidRDefault="00084741" w:rsidP="00DE1F3F">
            <w:pPr>
              <w:spacing w:after="0" w:line="240" w:lineRule="auto"/>
              <w:rPr>
                <w:rFonts w:ascii="Arial" w:hAnsi="Arial" w:cs="Arial"/>
              </w:rPr>
            </w:pPr>
            <w:r w:rsidRPr="008A46A3">
              <w:rPr>
                <w:rFonts w:ascii="Arial" w:hAnsi="Arial" w:cs="Arial"/>
              </w:rPr>
              <w:t>G</w:t>
            </w:r>
          </w:p>
        </w:tc>
        <w:tc>
          <w:tcPr>
            <w:tcW w:w="1650" w:type="dxa"/>
          </w:tcPr>
          <w:p w14:paraId="0DD7702E" w14:textId="77777777" w:rsidR="00084741" w:rsidRPr="008A46A3" w:rsidRDefault="00084741" w:rsidP="00DE1F3F">
            <w:pPr>
              <w:spacing w:after="0" w:line="240" w:lineRule="auto"/>
              <w:rPr>
                <w:rFonts w:ascii="Arial" w:hAnsi="Arial" w:cs="Arial"/>
              </w:rPr>
            </w:pPr>
            <w:r w:rsidRPr="008A46A3">
              <w:rPr>
                <w:rFonts w:ascii="Arial" w:hAnsi="Arial" w:cs="Arial"/>
              </w:rPr>
              <w:t>1=</w:t>
            </w:r>
          </w:p>
        </w:tc>
      </w:tr>
      <w:tr w:rsidR="00084741" w:rsidRPr="008A46A3" w14:paraId="0C87697E" w14:textId="77777777" w:rsidTr="00DE1F3F">
        <w:tc>
          <w:tcPr>
            <w:tcW w:w="6374" w:type="dxa"/>
          </w:tcPr>
          <w:p w14:paraId="561A854A" w14:textId="77777777" w:rsidR="00084741" w:rsidRPr="008A46A3" w:rsidRDefault="00084741" w:rsidP="00DE1F3F">
            <w:pPr>
              <w:spacing w:after="0" w:line="240" w:lineRule="auto"/>
              <w:rPr>
                <w:rFonts w:ascii="Arial" w:hAnsi="Arial" w:cs="Arial"/>
              </w:rPr>
            </w:pPr>
            <w:r w:rsidRPr="008A46A3">
              <w:rPr>
                <w:rFonts w:ascii="Arial" w:hAnsi="Arial" w:cs="Arial"/>
              </w:rPr>
              <w:t>Former football pitch and land to the rear of Broughton club</w:t>
            </w:r>
          </w:p>
        </w:tc>
        <w:tc>
          <w:tcPr>
            <w:tcW w:w="992" w:type="dxa"/>
          </w:tcPr>
          <w:p w14:paraId="527847A4" w14:textId="77777777" w:rsidR="00084741" w:rsidRPr="008A46A3" w:rsidRDefault="00084741" w:rsidP="00DE1F3F">
            <w:pPr>
              <w:spacing w:after="0" w:line="240" w:lineRule="auto"/>
              <w:rPr>
                <w:rFonts w:ascii="Arial" w:hAnsi="Arial" w:cs="Arial"/>
              </w:rPr>
            </w:pPr>
            <w:r w:rsidRPr="008A46A3">
              <w:rPr>
                <w:rFonts w:ascii="Arial" w:hAnsi="Arial" w:cs="Arial"/>
              </w:rPr>
              <w:t>H</w:t>
            </w:r>
          </w:p>
        </w:tc>
        <w:tc>
          <w:tcPr>
            <w:tcW w:w="1650" w:type="dxa"/>
          </w:tcPr>
          <w:p w14:paraId="6B613DA9" w14:textId="77777777" w:rsidR="00084741" w:rsidRPr="008A46A3" w:rsidRDefault="00084741" w:rsidP="00DE1F3F">
            <w:pPr>
              <w:spacing w:after="0" w:line="240" w:lineRule="auto"/>
              <w:rPr>
                <w:rFonts w:ascii="Arial" w:hAnsi="Arial" w:cs="Arial"/>
              </w:rPr>
            </w:pPr>
            <w:r w:rsidRPr="008A46A3">
              <w:rPr>
                <w:rFonts w:ascii="Arial" w:hAnsi="Arial" w:cs="Arial"/>
              </w:rPr>
              <w:t>1=</w:t>
            </w:r>
          </w:p>
        </w:tc>
      </w:tr>
      <w:tr w:rsidR="00084741" w:rsidRPr="008A46A3" w14:paraId="7B7C0F83" w14:textId="77777777" w:rsidTr="00DE1F3F">
        <w:tc>
          <w:tcPr>
            <w:tcW w:w="6374" w:type="dxa"/>
          </w:tcPr>
          <w:p w14:paraId="41E6CC3B" w14:textId="77777777" w:rsidR="00084741" w:rsidRPr="008A46A3" w:rsidRDefault="00084741" w:rsidP="00DE1F3F">
            <w:pPr>
              <w:spacing w:after="0" w:line="240" w:lineRule="auto"/>
              <w:rPr>
                <w:rFonts w:ascii="Arial" w:hAnsi="Arial" w:cs="Arial"/>
              </w:rPr>
            </w:pPr>
            <w:r w:rsidRPr="008A46A3">
              <w:rPr>
                <w:rFonts w:ascii="Arial" w:hAnsi="Arial" w:cs="Arial"/>
              </w:rPr>
              <w:t>No 522 Garstang Road</w:t>
            </w:r>
          </w:p>
        </w:tc>
        <w:tc>
          <w:tcPr>
            <w:tcW w:w="992" w:type="dxa"/>
          </w:tcPr>
          <w:p w14:paraId="4E35DBE2" w14:textId="77777777" w:rsidR="00084741" w:rsidRPr="008A46A3" w:rsidRDefault="00084741" w:rsidP="00DE1F3F">
            <w:pPr>
              <w:spacing w:after="0" w:line="240" w:lineRule="auto"/>
              <w:rPr>
                <w:rFonts w:ascii="Arial" w:hAnsi="Arial" w:cs="Arial"/>
              </w:rPr>
            </w:pPr>
            <w:r w:rsidRPr="008A46A3">
              <w:rPr>
                <w:rFonts w:ascii="Arial" w:hAnsi="Arial" w:cs="Arial"/>
              </w:rPr>
              <w:t>B</w:t>
            </w:r>
          </w:p>
        </w:tc>
        <w:tc>
          <w:tcPr>
            <w:tcW w:w="1650" w:type="dxa"/>
          </w:tcPr>
          <w:p w14:paraId="03414EE3" w14:textId="77777777" w:rsidR="00084741" w:rsidRPr="008A46A3" w:rsidRDefault="00084741" w:rsidP="00DE1F3F">
            <w:pPr>
              <w:spacing w:after="0" w:line="240" w:lineRule="auto"/>
              <w:rPr>
                <w:rFonts w:ascii="Arial" w:hAnsi="Arial" w:cs="Arial"/>
              </w:rPr>
            </w:pPr>
            <w:r w:rsidRPr="008A46A3">
              <w:rPr>
                <w:rFonts w:ascii="Arial" w:hAnsi="Arial" w:cs="Arial"/>
              </w:rPr>
              <w:t>2</w:t>
            </w:r>
          </w:p>
        </w:tc>
      </w:tr>
      <w:tr w:rsidR="00084741" w:rsidRPr="008A46A3" w14:paraId="727A4EA2" w14:textId="77777777" w:rsidTr="00DE1F3F">
        <w:tc>
          <w:tcPr>
            <w:tcW w:w="6374" w:type="dxa"/>
          </w:tcPr>
          <w:p w14:paraId="616C0582" w14:textId="77777777" w:rsidR="00084741" w:rsidRPr="008A46A3" w:rsidRDefault="00084741" w:rsidP="00DE1F3F">
            <w:pPr>
              <w:spacing w:after="0" w:line="240" w:lineRule="auto"/>
              <w:rPr>
                <w:rFonts w:ascii="Arial" w:hAnsi="Arial" w:cs="Arial"/>
              </w:rPr>
            </w:pPr>
            <w:r w:rsidRPr="008A46A3">
              <w:rPr>
                <w:rFonts w:ascii="Arial" w:hAnsi="Arial" w:cs="Arial"/>
              </w:rPr>
              <w:t>Land to the rear of Broughton club</w:t>
            </w:r>
          </w:p>
        </w:tc>
        <w:tc>
          <w:tcPr>
            <w:tcW w:w="992" w:type="dxa"/>
          </w:tcPr>
          <w:p w14:paraId="081C32CF" w14:textId="77777777" w:rsidR="00084741" w:rsidRPr="008A46A3" w:rsidRDefault="00084741" w:rsidP="00DE1F3F">
            <w:pPr>
              <w:spacing w:after="0" w:line="240" w:lineRule="auto"/>
              <w:rPr>
                <w:rFonts w:ascii="Arial" w:hAnsi="Arial" w:cs="Arial"/>
              </w:rPr>
            </w:pPr>
            <w:r w:rsidRPr="008A46A3">
              <w:rPr>
                <w:rFonts w:ascii="Arial" w:hAnsi="Arial" w:cs="Arial"/>
              </w:rPr>
              <w:t>E</w:t>
            </w:r>
          </w:p>
        </w:tc>
        <w:tc>
          <w:tcPr>
            <w:tcW w:w="1650" w:type="dxa"/>
          </w:tcPr>
          <w:p w14:paraId="3CD5D5DD" w14:textId="77777777" w:rsidR="00084741" w:rsidRPr="008A46A3" w:rsidRDefault="00084741" w:rsidP="00DE1F3F">
            <w:pPr>
              <w:spacing w:after="0" w:line="240" w:lineRule="auto"/>
              <w:rPr>
                <w:rFonts w:ascii="Arial" w:hAnsi="Arial" w:cs="Arial"/>
              </w:rPr>
            </w:pPr>
            <w:r w:rsidRPr="008A46A3">
              <w:rPr>
                <w:rFonts w:ascii="Arial" w:hAnsi="Arial" w:cs="Arial"/>
              </w:rPr>
              <w:t>3</w:t>
            </w:r>
          </w:p>
        </w:tc>
      </w:tr>
      <w:tr w:rsidR="00084741" w:rsidRPr="008A46A3" w14:paraId="40A9FDF2" w14:textId="77777777" w:rsidTr="00DE1F3F">
        <w:tc>
          <w:tcPr>
            <w:tcW w:w="6374" w:type="dxa"/>
          </w:tcPr>
          <w:p w14:paraId="59278467" w14:textId="77777777" w:rsidR="00084741" w:rsidRPr="008A46A3" w:rsidRDefault="00084741" w:rsidP="00DE1F3F">
            <w:pPr>
              <w:spacing w:after="0" w:line="240" w:lineRule="auto"/>
              <w:rPr>
                <w:rFonts w:ascii="Arial" w:hAnsi="Arial" w:cs="Arial"/>
              </w:rPr>
            </w:pPr>
            <w:r w:rsidRPr="008A46A3">
              <w:rPr>
                <w:rFonts w:ascii="Arial" w:hAnsi="Arial" w:cs="Arial"/>
              </w:rPr>
              <w:t>Helms Farm</w:t>
            </w:r>
          </w:p>
        </w:tc>
        <w:tc>
          <w:tcPr>
            <w:tcW w:w="992" w:type="dxa"/>
          </w:tcPr>
          <w:p w14:paraId="5C0F3E74" w14:textId="77777777" w:rsidR="00084741" w:rsidRPr="008A46A3" w:rsidRDefault="00084741" w:rsidP="00DE1F3F">
            <w:pPr>
              <w:spacing w:after="0" w:line="240" w:lineRule="auto"/>
              <w:rPr>
                <w:rFonts w:ascii="Arial" w:hAnsi="Arial" w:cs="Arial"/>
              </w:rPr>
            </w:pPr>
            <w:r w:rsidRPr="008A46A3">
              <w:rPr>
                <w:rFonts w:ascii="Arial" w:hAnsi="Arial" w:cs="Arial"/>
              </w:rPr>
              <w:t>A</w:t>
            </w:r>
          </w:p>
        </w:tc>
        <w:tc>
          <w:tcPr>
            <w:tcW w:w="1650" w:type="dxa"/>
          </w:tcPr>
          <w:p w14:paraId="4FDBDC94" w14:textId="77777777" w:rsidR="00084741" w:rsidRPr="008A46A3" w:rsidRDefault="00084741" w:rsidP="00DE1F3F">
            <w:pPr>
              <w:spacing w:after="0" w:line="240" w:lineRule="auto"/>
              <w:rPr>
                <w:rFonts w:ascii="Arial" w:hAnsi="Arial" w:cs="Arial"/>
              </w:rPr>
            </w:pPr>
            <w:r w:rsidRPr="008A46A3">
              <w:rPr>
                <w:rFonts w:ascii="Arial" w:hAnsi="Arial" w:cs="Arial"/>
              </w:rPr>
              <w:t>4</w:t>
            </w:r>
          </w:p>
        </w:tc>
      </w:tr>
      <w:tr w:rsidR="00084741" w:rsidRPr="008A46A3" w14:paraId="27ABA62A" w14:textId="77777777" w:rsidTr="00DE1F3F">
        <w:tc>
          <w:tcPr>
            <w:tcW w:w="6374" w:type="dxa"/>
          </w:tcPr>
          <w:p w14:paraId="54800122" w14:textId="77777777" w:rsidR="00084741" w:rsidRPr="008A46A3" w:rsidRDefault="00084741" w:rsidP="00DE1F3F">
            <w:pPr>
              <w:spacing w:after="0" w:line="240" w:lineRule="auto"/>
              <w:rPr>
                <w:rFonts w:ascii="Arial" w:hAnsi="Arial" w:cs="Arial"/>
              </w:rPr>
            </w:pPr>
            <w:r w:rsidRPr="008A46A3">
              <w:rPr>
                <w:rFonts w:ascii="Arial" w:hAnsi="Arial" w:cs="Arial"/>
              </w:rPr>
              <w:t>Land to the rear of Broughton social club (extended site)</w:t>
            </w:r>
          </w:p>
        </w:tc>
        <w:tc>
          <w:tcPr>
            <w:tcW w:w="992" w:type="dxa"/>
          </w:tcPr>
          <w:p w14:paraId="4DB8557C" w14:textId="77777777" w:rsidR="00084741" w:rsidRPr="008A46A3" w:rsidRDefault="00084741" w:rsidP="00DE1F3F">
            <w:pPr>
              <w:spacing w:after="0" w:line="240" w:lineRule="auto"/>
              <w:rPr>
                <w:rFonts w:ascii="Arial" w:hAnsi="Arial" w:cs="Arial"/>
              </w:rPr>
            </w:pPr>
            <w:r w:rsidRPr="008A46A3">
              <w:rPr>
                <w:rFonts w:ascii="Arial" w:hAnsi="Arial" w:cs="Arial"/>
              </w:rPr>
              <w:t>F</w:t>
            </w:r>
          </w:p>
        </w:tc>
        <w:tc>
          <w:tcPr>
            <w:tcW w:w="1650" w:type="dxa"/>
          </w:tcPr>
          <w:p w14:paraId="33B4519C" w14:textId="77777777" w:rsidR="00084741" w:rsidRPr="008A46A3" w:rsidRDefault="00084741" w:rsidP="00DE1F3F">
            <w:pPr>
              <w:spacing w:after="0" w:line="240" w:lineRule="auto"/>
              <w:rPr>
                <w:rFonts w:ascii="Arial" w:hAnsi="Arial" w:cs="Arial"/>
              </w:rPr>
            </w:pPr>
            <w:r w:rsidRPr="008A46A3">
              <w:rPr>
                <w:rFonts w:ascii="Arial" w:hAnsi="Arial" w:cs="Arial"/>
              </w:rPr>
              <w:t>5</w:t>
            </w:r>
          </w:p>
        </w:tc>
      </w:tr>
      <w:tr w:rsidR="00084741" w:rsidRPr="008A46A3" w14:paraId="167180F4" w14:textId="77777777" w:rsidTr="00DE1F3F">
        <w:tc>
          <w:tcPr>
            <w:tcW w:w="6374" w:type="dxa"/>
          </w:tcPr>
          <w:p w14:paraId="7F126096" w14:textId="77777777" w:rsidR="00084741" w:rsidRPr="008A46A3" w:rsidRDefault="00084741" w:rsidP="00DE1F3F">
            <w:pPr>
              <w:spacing w:after="0" w:line="240" w:lineRule="auto"/>
              <w:rPr>
                <w:rFonts w:ascii="Arial" w:hAnsi="Arial" w:cs="Arial"/>
              </w:rPr>
            </w:pPr>
            <w:r w:rsidRPr="008A46A3">
              <w:rPr>
                <w:rFonts w:ascii="Arial" w:hAnsi="Arial" w:cs="Arial"/>
              </w:rPr>
              <w:t>Land south of Whittingham Lane</w:t>
            </w:r>
          </w:p>
        </w:tc>
        <w:tc>
          <w:tcPr>
            <w:tcW w:w="992" w:type="dxa"/>
          </w:tcPr>
          <w:p w14:paraId="7F1057B2" w14:textId="77777777" w:rsidR="00084741" w:rsidRPr="008A46A3" w:rsidRDefault="00084741" w:rsidP="00DE1F3F">
            <w:pPr>
              <w:spacing w:after="0" w:line="240" w:lineRule="auto"/>
              <w:rPr>
                <w:rFonts w:ascii="Arial" w:hAnsi="Arial" w:cs="Arial"/>
              </w:rPr>
            </w:pPr>
            <w:r w:rsidRPr="008A46A3">
              <w:rPr>
                <w:rFonts w:ascii="Arial" w:hAnsi="Arial" w:cs="Arial"/>
              </w:rPr>
              <w:t>C</w:t>
            </w:r>
          </w:p>
        </w:tc>
        <w:tc>
          <w:tcPr>
            <w:tcW w:w="1650" w:type="dxa"/>
          </w:tcPr>
          <w:p w14:paraId="31013596" w14:textId="77777777" w:rsidR="00084741" w:rsidRPr="008A46A3" w:rsidRDefault="00084741" w:rsidP="00DE1F3F">
            <w:pPr>
              <w:spacing w:after="0" w:line="240" w:lineRule="auto"/>
              <w:rPr>
                <w:rFonts w:ascii="Arial" w:hAnsi="Arial" w:cs="Arial"/>
              </w:rPr>
            </w:pPr>
            <w:r w:rsidRPr="008A46A3">
              <w:rPr>
                <w:rFonts w:ascii="Arial" w:hAnsi="Arial" w:cs="Arial"/>
              </w:rPr>
              <w:t>6</w:t>
            </w:r>
          </w:p>
        </w:tc>
      </w:tr>
      <w:tr w:rsidR="00084741" w:rsidRPr="008A46A3" w14:paraId="685F97B9" w14:textId="77777777" w:rsidTr="00DE1F3F">
        <w:tc>
          <w:tcPr>
            <w:tcW w:w="6374" w:type="dxa"/>
          </w:tcPr>
          <w:p w14:paraId="1B6CD2BB" w14:textId="77777777" w:rsidR="00084741" w:rsidRPr="008A46A3" w:rsidRDefault="00084741" w:rsidP="00DE1F3F">
            <w:pPr>
              <w:spacing w:after="0" w:line="240" w:lineRule="auto"/>
              <w:rPr>
                <w:rFonts w:ascii="Arial" w:hAnsi="Arial" w:cs="Arial"/>
              </w:rPr>
            </w:pPr>
            <w:r w:rsidRPr="008A46A3">
              <w:rPr>
                <w:rFonts w:ascii="Arial" w:hAnsi="Arial" w:cs="Arial"/>
              </w:rPr>
              <w:t>Field west of Garstang Road</w:t>
            </w:r>
          </w:p>
        </w:tc>
        <w:tc>
          <w:tcPr>
            <w:tcW w:w="992" w:type="dxa"/>
          </w:tcPr>
          <w:p w14:paraId="38DD0B5A" w14:textId="77777777" w:rsidR="00084741" w:rsidRPr="008A46A3" w:rsidRDefault="00084741" w:rsidP="00DE1F3F">
            <w:pPr>
              <w:spacing w:after="0" w:line="240" w:lineRule="auto"/>
              <w:rPr>
                <w:rFonts w:ascii="Arial" w:hAnsi="Arial" w:cs="Arial"/>
              </w:rPr>
            </w:pPr>
            <w:r w:rsidRPr="008A46A3">
              <w:rPr>
                <w:rFonts w:ascii="Arial" w:hAnsi="Arial" w:cs="Arial"/>
              </w:rPr>
              <w:t>K</w:t>
            </w:r>
          </w:p>
        </w:tc>
        <w:tc>
          <w:tcPr>
            <w:tcW w:w="1650" w:type="dxa"/>
          </w:tcPr>
          <w:p w14:paraId="1309571C" w14:textId="77777777" w:rsidR="00084741" w:rsidRPr="008A46A3" w:rsidRDefault="00084741" w:rsidP="00DE1F3F">
            <w:pPr>
              <w:spacing w:after="0" w:line="240" w:lineRule="auto"/>
              <w:rPr>
                <w:rFonts w:ascii="Arial" w:hAnsi="Arial" w:cs="Arial"/>
              </w:rPr>
            </w:pPr>
            <w:r w:rsidRPr="008A46A3">
              <w:rPr>
                <w:rFonts w:ascii="Arial" w:hAnsi="Arial" w:cs="Arial"/>
              </w:rPr>
              <w:t>7=</w:t>
            </w:r>
          </w:p>
        </w:tc>
      </w:tr>
      <w:tr w:rsidR="00084741" w:rsidRPr="008A46A3" w14:paraId="34523DDF" w14:textId="77777777" w:rsidTr="00DE1F3F">
        <w:tc>
          <w:tcPr>
            <w:tcW w:w="6374" w:type="dxa"/>
          </w:tcPr>
          <w:p w14:paraId="364C8A25" w14:textId="77777777" w:rsidR="00084741" w:rsidRPr="008A46A3" w:rsidRDefault="00084741" w:rsidP="00DE1F3F">
            <w:pPr>
              <w:spacing w:after="0" w:line="240" w:lineRule="auto"/>
              <w:rPr>
                <w:rFonts w:ascii="Arial" w:hAnsi="Arial" w:cs="Arial"/>
              </w:rPr>
            </w:pPr>
            <w:r w:rsidRPr="008A46A3">
              <w:rPr>
                <w:rFonts w:ascii="Arial" w:hAnsi="Arial" w:cs="Arial"/>
              </w:rPr>
              <w:t>Sandy-gate Lane</w:t>
            </w:r>
          </w:p>
        </w:tc>
        <w:tc>
          <w:tcPr>
            <w:tcW w:w="992" w:type="dxa"/>
          </w:tcPr>
          <w:p w14:paraId="315C8389" w14:textId="77777777" w:rsidR="00084741" w:rsidRPr="008A46A3" w:rsidRDefault="00084741" w:rsidP="00DE1F3F">
            <w:pPr>
              <w:spacing w:after="0" w:line="240" w:lineRule="auto"/>
              <w:rPr>
                <w:rFonts w:ascii="Arial" w:hAnsi="Arial" w:cs="Arial"/>
              </w:rPr>
            </w:pPr>
            <w:r w:rsidRPr="008A46A3">
              <w:rPr>
                <w:rFonts w:ascii="Arial" w:hAnsi="Arial" w:cs="Arial"/>
              </w:rPr>
              <w:t>L</w:t>
            </w:r>
          </w:p>
        </w:tc>
        <w:tc>
          <w:tcPr>
            <w:tcW w:w="1650" w:type="dxa"/>
          </w:tcPr>
          <w:p w14:paraId="452EED4B" w14:textId="77777777" w:rsidR="00084741" w:rsidRPr="008A46A3" w:rsidRDefault="00084741" w:rsidP="00DE1F3F">
            <w:pPr>
              <w:spacing w:after="0" w:line="240" w:lineRule="auto"/>
              <w:rPr>
                <w:rFonts w:ascii="Arial" w:hAnsi="Arial" w:cs="Arial"/>
              </w:rPr>
            </w:pPr>
            <w:r w:rsidRPr="008A46A3">
              <w:rPr>
                <w:rFonts w:ascii="Arial" w:hAnsi="Arial" w:cs="Arial"/>
              </w:rPr>
              <w:t>7=</w:t>
            </w:r>
          </w:p>
        </w:tc>
      </w:tr>
      <w:tr w:rsidR="00084741" w:rsidRPr="008A46A3" w14:paraId="4A21368E" w14:textId="77777777" w:rsidTr="00DE1F3F">
        <w:tc>
          <w:tcPr>
            <w:tcW w:w="6374" w:type="dxa"/>
          </w:tcPr>
          <w:p w14:paraId="521C75DE" w14:textId="77777777" w:rsidR="00084741" w:rsidRPr="008A46A3" w:rsidRDefault="00084741" w:rsidP="00DE1F3F">
            <w:pPr>
              <w:spacing w:after="0" w:line="240" w:lineRule="auto"/>
              <w:rPr>
                <w:rFonts w:ascii="Arial" w:hAnsi="Arial" w:cs="Arial"/>
              </w:rPr>
            </w:pPr>
            <w:r w:rsidRPr="008A46A3">
              <w:rPr>
                <w:rFonts w:ascii="Arial" w:hAnsi="Arial" w:cs="Arial"/>
              </w:rPr>
              <w:t>Land north of Old Hall farm</w:t>
            </w:r>
          </w:p>
        </w:tc>
        <w:tc>
          <w:tcPr>
            <w:tcW w:w="992" w:type="dxa"/>
          </w:tcPr>
          <w:p w14:paraId="28E2A808" w14:textId="77777777" w:rsidR="00084741" w:rsidRPr="008A46A3" w:rsidRDefault="00084741" w:rsidP="00DE1F3F">
            <w:pPr>
              <w:spacing w:after="0" w:line="240" w:lineRule="auto"/>
              <w:rPr>
                <w:rFonts w:ascii="Arial" w:hAnsi="Arial" w:cs="Arial"/>
              </w:rPr>
            </w:pPr>
            <w:r w:rsidRPr="008A46A3">
              <w:rPr>
                <w:rFonts w:ascii="Arial" w:hAnsi="Arial" w:cs="Arial"/>
              </w:rPr>
              <w:t>M</w:t>
            </w:r>
          </w:p>
        </w:tc>
        <w:tc>
          <w:tcPr>
            <w:tcW w:w="1650" w:type="dxa"/>
          </w:tcPr>
          <w:p w14:paraId="1A550157" w14:textId="77777777" w:rsidR="00084741" w:rsidRPr="008A46A3" w:rsidRDefault="00084741" w:rsidP="00DE1F3F">
            <w:pPr>
              <w:spacing w:after="0" w:line="240" w:lineRule="auto"/>
              <w:rPr>
                <w:rFonts w:ascii="Arial" w:hAnsi="Arial" w:cs="Arial"/>
              </w:rPr>
            </w:pPr>
            <w:r w:rsidRPr="008A46A3">
              <w:rPr>
                <w:rFonts w:ascii="Arial" w:hAnsi="Arial" w:cs="Arial"/>
              </w:rPr>
              <w:t>8=</w:t>
            </w:r>
          </w:p>
        </w:tc>
      </w:tr>
      <w:tr w:rsidR="00084741" w:rsidRPr="008A46A3" w14:paraId="12BB9CEF" w14:textId="77777777" w:rsidTr="00DE1F3F">
        <w:tc>
          <w:tcPr>
            <w:tcW w:w="6374" w:type="dxa"/>
          </w:tcPr>
          <w:p w14:paraId="7736B827" w14:textId="77777777" w:rsidR="00084741" w:rsidRPr="008A46A3" w:rsidRDefault="00084741" w:rsidP="00DE1F3F">
            <w:pPr>
              <w:spacing w:after="0" w:line="240" w:lineRule="auto"/>
              <w:rPr>
                <w:rFonts w:ascii="Arial" w:hAnsi="Arial" w:cs="Arial"/>
              </w:rPr>
            </w:pPr>
            <w:r w:rsidRPr="008A46A3">
              <w:rPr>
                <w:rFonts w:ascii="Arial" w:hAnsi="Arial" w:cs="Arial"/>
              </w:rPr>
              <w:t>Land south of Dobson’s farm</w:t>
            </w:r>
          </w:p>
        </w:tc>
        <w:tc>
          <w:tcPr>
            <w:tcW w:w="992" w:type="dxa"/>
          </w:tcPr>
          <w:p w14:paraId="0943B6D1" w14:textId="77777777" w:rsidR="00084741" w:rsidRPr="008A46A3" w:rsidRDefault="00084741" w:rsidP="00DE1F3F">
            <w:pPr>
              <w:spacing w:after="0" w:line="240" w:lineRule="auto"/>
              <w:rPr>
                <w:rFonts w:ascii="Arial" w:hAnsi="Arial" w:cs="Arial"/>
              </w:rPr>
            </w:pPr>
            <w:r w:rsidRPr="008A46A3">
              <w:rPr>
                <w:rFonts w:ascii="Arial" w:hAnsi="Arial" w:cs="Arial"/>
              </w:rPr>
              <w:t>D</w:t>
            </w:r>
          </w:p>
        </w:tc>
        <w:tc>
          <w:tcPr>
            <w:tcW w:w="1650" w:type="dxa"/>
          </w:tcPr>
          <w:p w14:paraId="05C93324" w14:textId="77777777" w:rsidR="00084741" w:rsidRPr="008A46A3" w:rsidRDefault="00084741" w:rsidP="00DE1F3F">
            <w:pPr>
              <w:spacing w:after="0" w:line="240" w:lineRule="auto"/>
              <w:rPr>
                <w:rFonts w:ascii="Arial" w:hAnsi="Arial" w:cs="Arial"/>
              </w:rPr>
            </w:pPr>
            <w:r w:rsidRPr="008A46A3">
              <w:rPr>
                <w:rFonts w:ascii="Arial" w:hAnsi="Arial" w:cs="Arial"/>
              </w:rPr>
              <w:t>8=</w:t>
            </w:r>
          </w:p>
        </w:tc>
      </w:tr>
      <w:tr w:rsidR="00084741" w:rsidRPr="008A46A3" w14:paraId="097641B7" w14:textId="77777777" w:rsidTr="00DE1F3F">
        <w:tc>
          <w:tcPr>
            <w:tcW w:w="6374" w:type="dxa"/>
          </w:tcPr>
          <w:p w14:paraId="428040C9" w14:textId="77777777" w:rsidR="00084741" w:rsidRPr="008A46A3" w:rsidRDefault="00084741" w:rsidP="00DE1F3F">
            <w:pPr>
              <w:spacing w:after="0" w:line="240" w:lineRule="auto"/>
              <w:rPr>
                <w:rFonts w:ascii="Arial" w:hAnsi="Arial" w:cs="Arial"/>
              </w:rPr>
            </w:pPr>
            <w:proofErr w:type="spellStart"/>
            <w:r w:rsidRPr="008A46A3">
              <w:rPr>
                <w:rFonts w:ascii="Arial" w:hAnsi="Arial" w:cs="Arial"/>
              </w:rPr>
              <w:t>Keyfold</w:t>
            </w:r>
            <w:proofErr w:type="spellEnd"/>
            <w:r w:rsidRPr="008A46A3">
              <w:rPr>
                <w:rFonts w:ascii="Arial" w:hAnsi="Arial" w:cs="Arial"/>
              </w:rPr>
              <w:t xml:space="preserve"> farm</w:t>
            </w:r>
          </w:p>
        </w:tc>
        <w:tc>
          <w:tcPr>
            <w:tcW w:w="992" w:type="dxa"/>
          </w:tcPr>
          <w:p w14:paraId="4D422F31" w14:textId="77777777" w:rsidR="00084741" w:rsidRPr="008A46A3" w:rsidRDefault="00084741" w:rsidP="00DE1F3F">
            <w:pPr>
              <w:spacing w:after="0" w:line="240" w:lineRule="auto"/>
              <w:rPr>
                <w:rFonts w:ascii="Arial" w:hAnsi="Arial" w:cs="Arial"/>
              </w:rPr>
            </w:pPr>
            <w:r w:rsidRPr="008A46A3">
              <w:rPr>
                <w:rFonts w:ascii="Arial" w:hAnsi="Arial" w:cs="Arial"/>
              </w:rPr>
              <w:t>J</w:t>
            </w:r>
          </w:p>
        </w:tc>
        <w:tc>
          <w:tcPr>
            <w:tcW w:w="1650" w:type="dxa"/>
          </w:tcPr>
          <w:p w14:paraId="7F195246" w14:textId="77777777" w:rsidR="00084741" w:rsidRPr="008A46A3" w:rsidRDefault="00084741" w:rsidP="00DE1F3F">
            <w:pPr>
              <w:spacing w:after="0" w:line="240" w:lineRule="auto"/>
              <w:rPr>
                <w:rFonts w:ascii="Arial" w:hAnsi="Arial" w:cs="Arial"/>
              </w:rPr>
            </w:pPr>
            <w:r w:rsidRPr="008A46A3">
              <w:rPr>
                <w:rFonts w:ascii="Arial" w:hAnsi="Arial" w:cs="Arial"/>
              </w:rPr>
              <w:t>9</w:t>
            </w:r>
          </w:p>
        </w:tc>
      </w:tr>
    </w:tbl>
    <w:p w14:paraId="18C3CDBE" w14:textId="77777777" w:rsidR="00084741" w:rsidRPr="008A46A3" w:rsidRDefault="00084741" w:rsidP="00084741">
      <w:pPr>
        <w:spacing w:after="0" w:line="240" w:lineRule="auto"/>
        <w:rPr>
          <w:rFonts w:ascii="Arial" w:hAnsi="Arial" w:cs="Arial"/>
        </w:rPr>
      </w:pPr>
    </w:p>
    <w:p w14:paraId="2AB8B7B5" w14:textId="77777777" w:rsidR="00084741" w:rsidRPr="008A46A3" w:rsidRDefault="00084741" w:rsidP="00084741">
      <w:pPr>
        <w:spacing w:after="0" w:line="240" w:lineRule="auto"/>
        <w:rPr>
          <w:rFonts w:ascii="Arial" w:hAnsi="Arial" w:cs="Arial"/>
        </w:rPr>
      </w:pPr>
      <w:r w:rsidRPr="008A46A3">
        <w:rPr>
          <w:rFonts w:ascii="Arial" w:hAnsi="Arial" w:cs="Arial"/>
        </w:rPr>
        <w:t>This included the site that is the subject of this appeal K. This report is attached to this letter: - Broughton-in-</w:t>
      </w:r>
      <w:proofErr w:type="spellStart"/>
      <w:r w:rsidRPr="008A46A3">
        <w:rPr>
          <w:rFonts w:ascii="Arial" w:hAnsi="Arial" w:cs="Arial"/>
        </w:rPr>
        <w:t>Amounderness</w:t>
      </w:r>
      <w:proofErr w:type="spellEnd"/>
      <w:r w:rsidRPr="008A46A3">
        <w:rPr>
          <w:rFonts w:ascii="Arial" w:hAnsi="Arial" w:cs="Arial"/>
        </w:rPr>
        <w:t xml:space="preserve"> Neighbourhood Plan: Landscape/visual appraisal of small-scale housing sites </w:t>
      </w:r>
    </w:p>
    <w:p w14:paraId="5A5481CE" w14:textId="77777777" w:rsidR="00084741" w:rsidRPr="008A46A3" w:rsidRDefault="00084741" w:rsidP="00084741">
      <w:pPr>
        <w:spacing w:after="0" w:line="240" w:lineRule="auto"/>
        <w:rPr>
          <w:rFonts w:ascii="Arial" w:hAnsi="Arial" w:cs="Arial"/>
        </w:rPr>
      </w:pPr>
      <w:r w:rsidRPr="008A46A3">
        <w:rPr>
          <w:rFonts w:ascii="Arial" w:hAnsi="Arial" w:cs="Arial"/>
        </w:rPr>
        <w:t xml:space="preserve">*Currently the BNDP review group are reviewing the adopted plan as it does not have a design code (highlighted by the “call in” over the site for a Mosque last August), there are some conflicting statement &amp; two of the sites allocated have been developed. </w:t>
      </w:r>
    </w:p>
    <w:p w14:paraId="7704985F" w14:textId="77777777" w:rsidR="00084741" w:rsidRPr="008A46A3" w:rsidRDefault="00084741" w:rsidP="00084741">
      <w:pPr>
        <w:spacing w:after="0" w:line="240" w:lineRule="auto"/>
        <w:rPr>
          <w:rFonts w:ascii="Arial" w:hAnsi="Arial" w:cs="Arial"/>
        </w:rPr>
      </w:pPr>
      <w:r w:rsidRPr="008A46A3">
        <w:rPr>
          <w:rFonts w:ascii="Arial" w:hAnsi="Arial" w:cs="Arial"/>
        </w:rPr>
        <w:t xml:space="preserve">The review group have commissioned JBA to update the SEA and Secom to produce a design code. The review group have not asked JBA to complete another site assessment as </w:t>
      </w:r>
      <w:r w:rsidRPr="008A46A3">
        <w:rPr>
          <w:rFonts w:ascii="Arial" w:hAnsi="Arial" w:cs="Arial"/>
        </w:rPr>
        <w:lastRenderedPageBreak/>
        <w:t>the Central Lancashire Group is in the process of doing this for the new plan which has been delayed by covid and other factors but now due to report imminently</w:t>
      </w:r>
    </w:p>
    <w:p w14:paraId="06565ADE" w14:textId="77777777" w:rsidR="00084741" w:rsidRPr="008A46A3" w:rsidRDefault="00084741" w:rsidP="00084741">
      <w:pPr>
        <w:spacing w:after="0" w:line="240" w:lineRule="auto"/>
        <w:rPr>
          <w:rFonts w:ascii="Arial" w:hAnsi="Arial" w:cs="Arial"/>
        </w:rPr>
      </w:pPr>
    </w:p>
    <w:p w14:paraId="39E8AEEC" w14:textId="77777777" w:rsidR="00084741" w:rsidRPr="008A46A3" w:rsidRDefault="00084741" w:rsidP="00084741">
      <w:pPr>
        <w:spacing w:after="0" w:line="240" w:lineRule="auto"/>
        <w:rPr>
          <w:rFonts w:ascii="Arial" w:hAnsi="Arial" w:cs="Arial"/>
        </w:rPr>
      </w:pPr>
      <w:r w:rsidRPr="008A46A3">
        <w:rPr>
          <w:rFonts w:ascii="Arial" w:hAnsi="Arial" w:cs="Arial"/>
        </w:rPr>
        <w:t>The BNDP has prevented development in non-designated areas since the plan was adopted except for the site on Whittingham Lane C. This was granted planning permission as the access road and 1/3</w:t>
      </w:r>
      <w:r w:rsidRPr="008A46A3">
        <w:rPr>
          <w:rFonts w:ascii="Arial" w:hAnsi="Arial" w:cs="Arial"/>
          <w:vertAlign w:val="superscript"/>
        </w:rPr>
        <w:t>rd</w:t>
      </w:r>
      <w:r w:rsidRPr="008A46A3">
        <w:rPr>
          <w:rFonts w:ascii="Arial" w:hAnsi="Arial" w:cs="Arial"/>
        </w:rPr>
        <w:t xml:space="preserve"> of the site </w:t>
      </w:r>
      <w:proofErr w:type="gramStart"/>
      <w:r w:rsidRPr="008A46A3">
        <w:rPr>
          <w:rFonts w:ascii="Arial" w:hAnsi="Arial" w:cs="Arial"/>
        </w:rPr>
        <w:t>were</w:t>
      </w:r>
      <w:proofErr w:type="gramEnd"/>
      <w:r w:rsidRPr="008A46A3">
        <w:rPr>
          <w:rFonts w:ascii="Arial" w:hAnsi="Arial" w:cs="Arial"/>
        </w:rPr>
        <w:t xml:space="preserve"> within the Parish boundary. The adjacent site to the south had planning permission denied.</w:t>
      </w:r>
    </w:p>
    <w:p w14:paraId="2E8B5705" w14:textId="77777777" w:rsidR="00084741" w:rsidRPr="008A46A3" w:rsidRDefault="00084741" w:rsidP="00084741">
      <w:pPr>
        <w:spacing w:after="0" w:line="240" w:lineRule="auto"/>
        <w:rPr>
          <w:rFonts w:ascii="Arial" w:hAnsi="Arial" w:cs="Arial"/>
        </w:rPr>
      </w:pPr>
    </w:p>
    <w:p w14:paraId="32963901" w14:textId="77777777" w:rsidR="00084741" w:rsidRPr="008A46A3" w:rsidRDefault="00084741" w:rsidP="00084741">
      <w:pPr>
        <w:spacing w:after="0" w:line="240" w:lineRule="auto"/>
        <w:rPr>
          <w:rFonts w:ascii="Arial" w:hAnsi="Arial" w:cs="Arial"/>
        </w:rPr>
      </w:pPr>
      <w:r w:rsidRPr="008A46A3">
        <w:rPr>
          <w:rFonts w:ascii="Arial" w:hAnsi="Arial" w:cs="Arial"/>
        </w:rPr>
        <w:t xml:space="preserve">Even with the BNDP dwelling numbers within the parish have doubled. </w:t>
      </w:r>
    </w:p>
    <w:p w14:paraId="48159B34" w14:textId="77777777" w:rsidR="00084741" w:rsidRPr="008A46A3" w:rsidRDefault="00084741" w:rsidP="00084741">
      <w:pPr>
        <w:spacing w:after="0" w:line="240" w:lineRule="auto"/>
        <w:rPr>
          <w:rFonts w:ascii="Arial" w:hAnsi="Arial" w:cs="Arial"/>
        </w:rPr>
      </w:pPr>
    </w:p>
    <w:p w14:paraId="7FEFEA6F" w14:textId="77777777" w:rsidR="00084741" w:rsidRPr="008A46A3" w:rsidRDefault="00084741" w:rsidP="00084741">
      <w:pPr>
        <w:spacing w:after="0" w:line="240" w:lineRule="auto"/>
        <w:rPr>
          <w:rFonts w:ascii="Arial" w:hAnsi="Arial" w:cs="Arial"/>
        </w:rPr>
      </w:pPr>
      <w:r w:rsidRPr="008A46A3">
        <w:rPr>
          <w:rFonts w:ascii="Arial" w:hAnsi="Arial" w:cs="Arial"/>
        </w:rPr>
        <w:t xml:space="preserve">The current sites behind the proposed development accessed off Sandy-gate Lane and the site the other side of Garstang Road at </w:t>
      </w:r>
      <w:proofErr w:type="spellStart"/>
      <w:r w:rsidRPr="008A46A3">
        <w:rPr>
          <w:rFonts w:ascii="Arial" w:hAnsi="Arial" w:cs="Arial"/>
        </w:rPr>
        <w:t>Keyfold</w:t>
      </w:r>
      <w:proofErr w:type="spellEnd"/>
      <w:r w:rsidRPr="008A46A3">
        <w:rPr>
          <w:rFonts w:ascii="Arial" w:hAnsi="Arial" w:cs="Arial"/>
        </w:rPr>
        <w:t xml:space="preserve"> Farm were subject to an appeal in February 2018. At that time Preston City Council could not demonstrate a 5year land supply (which they now can) and the BNDP was out for consultation so was not given any weight in the Inspectors deliberations and they were allowed.</w:t>
      </w:r>
    </w:p>
    <w:p w14:paraId="3201AEA5" w14:textId="77777777" w:rsidR="00084741" w:rsidRPr="008A46A3" w:rsidRDefault="00084741" w:rsidP="00084741">
      <w:pPr>
        <w:spacing w:after="0" w:line="240" w:lineRule="auto"/>
        <w:rPr>
          <w:rFonts w:ascii="Arial" w:hAnsi="Arial" w:cs="Arial"/>
        </w:rPr>
      </w:pPr>
    </w:p>
    <w:p w14:paraId="0595AF69" w14:textId="77777777" w:rsidR="00084741" w:rsidRPr="008A46A3" w:rsidRDefault="00084741" w:rsidP="00084741">
      <w:pPr>
        <w:spacing w:after="0" w:line="240" w:lineRule="auto"/>
        <w:rPr>
          <w:rFonts w:ascii="Arial" w:hAnsi="Arial" w:cs="Arial"/>
          <w:b/>
          <w:i/>
        </w:rPr>
      </w:pPr>
      <w:r w:rsidRPr="008A46A3">
        <w:rPr>
          <w:rFonts w:ascii="Arial" w:hAnsi="Arial" w:cs="Arial"/>
          <w:b/>
          <w:i/>
        </w:rPr>
        <w:t xml:space="preserve">This site should not be developed as it is not designated within the BNDP and is not a </w:t>
      </w:r>
      <w:proofErr w:type="gramStart"/>
      <w:r w:rsidRPr="008A46A3">
        <w:rPr>
          <w:rFonts w:ascii="Arial" w:hAnsi="Arial" w:cs="Arial"/>
          <w:b/>
          <w:i/>
        </w:rPr>
        <w:t>small scale</w:t>
      </w:r>
      <w:proofErr w:type="gramEnd"/>
      <w:r w:rsidRPr="008A46A3">
        <w:rPr>
          <w:rFonts w:ascii="Arial" w:hAnsi="Arial" w:cs="Arial"/>
          <w:b/>
          <w:i/>
        </w:rPr>
        <w:t xml:space="preserve"> development</w:t>
      </w:r>
    </w:p>
    <w:p w14:paraId="5A76FCD9" w14:textId="77777777" w:rsidR="00084741" w:rsidRPr="008A46A3" w:rsidRDefault="00084741" w:rsidP="00084741">
      <w:pPr>
        <w:spacing w:after="0" w:line="240" w:lineRule="auto"/>
        <w:rPr>
          <w:rFonts w:ascii="Arial" w:hAnsi="Arial" w:cs="Arial"/>
        </w:rPr>
      </w:pPr>
    </w:p>
    <w:p w14:paraId="21CF0965" w14:textId="77777777" w:rsidR="00084741" w:rsidRPr="008A46A3" w:rsidRDefault="00084741" w:rsidP="00084741">
      <w:pPr>
        <w:pStyle w:val="ListParagraph"/>
        <w:numPr>
          <w:ilvl w:val="0"/>
          <w:numId w:val="1"/>
        </w:numPr>
        <w:spacing w:after="0" w:line="240" w:lineRule="auto"/>
        <w:rPr>
          <w:rFonts w:ascii="Arial" w:hAnsi="Arial" w:cs="Arial"/>
          <w:u w:val="single"/>
        </w:rPr>
      </w:pPr>
      <w:r w:rsidRPr="008A46A3">
        <w:rPr>
          <w:rFonts w:ascii="Arial" w:hAnsi="Arial" w:cs="Arial"/>
          <w:u w:val="single"/>
        </w:rPr>
        <w:t xml:space="preserve">The site is within the current &amp; proposed “area of separation” </w:t>
      </w:r>
      <w:proofErr w:type="gramStart"/>
      <w:r w:rsidRPr="008A46A3">
        <w:rPr>
          <w:rFonts w:ascii="Arial" w:hAnsi="Arial" w:cs="Arial"/>
          <w:u w:val="single"/>
        </w:rPr>
        <w:t>and  is</w:t>
      </w:r>
      <w:proofErr w:type="gramEnd"/>
      <w:r w:rsidRPr="008A46A3">
        <w:rPr>
          <w:rFonts w:ascii="Arial" w:hAnsi="Arial" w:cs="Arial"/>
          <w:u w:val="single"/>
        </w:rPr>
        <w:t xml:space="preserve"> open countryside</w:t>
      </w:r>
    </w:p>
    <w:p w14:paraId="1EA82523" w14:textId="77777777" w:rsidR="00084741" w:rsidRPr="008A46A3" w:rsidRDefault="00084741" w:rsidP="00084741">
      <w:pPr>
        <w:pStyle w:val="ListParagraph"/>
        <w:spacing w:after="0" w:line="240" w:lineRule="auto"/>
        <w:rPr>
          <w:rFonts w:ascii="Arial" w:hAnsi="Arial" w:cs="Arial"/>
          <w:u w:val="single"/>
        </w:rPr>
      </w:pPr>
    </w:p>
    <w:p w14:paraId="33A56118" w14:textId="77777777" w:rsidR="00084741" w:rsidRPr="008A46A3" w:rsidRDefault="00084741" w:rsidP="00084741">
      <w:pPr>
        <w:widowControl w:val="0"/>
        <w:tabs>
          <w:tab w:val="left" w:pos="969"/>
          <w:tab w:val="left" w:pos="970"/>
        </w:tabs>
        <w:autoSpaceDE w:val="0"/>
        <w:autoSpaceDN w:val="0"/>
        <w:spacing w:after="0" w:line="240" w:lineRule="auto"/>
        <w:ind w:right="206"/>
        <w:rPr>
          <w:rFonts w:ascii="Arial" w:eastAsia="Arial" w:hAnsi="Arial" w:cs="Arial"/>
          <w:lang w:val="en-US" w:bidi="en-US"/>
        </w:rPr>
      </w:pPr>
      <w:r w:rsidRPr="008A46A3">
        <w:rPr>
          <w:rFonts w:ascii="Arial" w:eastAsia="Arial" w:hAnsi="Arial" w:cs="Arial"/>
          <w:lang w:val="en-US" w:bidi="en-US"/>
        </w:rPr>
        <w:t>Under Policy EN4 any development within Areas of Separation has to be assessed in terms of any harm to the effectiveness of the gap between settlements (</w:t>
      </w:r>
      <w:proofErr w:type="gramStart"/>
      <w:r w:rsidRPr="008A46A3">
        <w:rPr>
          <w:rFonts w:ascii="Arial" w:eastAsia="Arial" w:hAnsi="Arial" w:cs="Arial"/>
          <w:lang w:val="en-US" w:bidi="en-US"/>
        </w:rPr>
        <w:t>e.g.</w:t>
      </w:r>
      <w:proofErr w:type="gramEnd"/>
      <w:r w:rsidRPr="008A46A3">
        <w:rPr>
          <w:rFonts w:ascii="Arial" w:eastAsia="Arial" w:hAnsi="Arial" w:cs="Arial"/>
          <w:lang w:val="en-US" w:bidi="en-US"/>
        </w:rPr>
        <w:t xml:space="preserve"> that between Broughton and Preston’s Urban Area) and whether such harm would compromise the function of the Area of Separation in protecting the identity and distinctiveness of</w:t>
      </w:r>
      <w:r w:rsidRPr="008A46A3">
        <w:rPr>
          <w:rFonts w:ascii="Arial" w:eastAsia="Arial" w:hAnsi="Arial" w:cs="Arial"/>
          <w:spacing w:val="-1"/>
          <w:lang w:val="en-US" w:bidi="en-US"/>
        </w:rPr>
        <w:t xml:space="preserve"> </w:t>
      </w:r>
      <w:r w:rsidRPr="008A46A3">
        <w:rPr>
          <w:rFonts w:ascii="Arial" w:eastAsia="Arial" w:hAnsi="Arial" w:cs="Arial"/>
          <w:lang w:val="en-US" w:bidi="en-US"/>
        </w:rPr>
        <w:t>settlements.</w:t>
      </w:r>
    </w:p>
    <w:p w14:paraId="6A8AA417" w14:textId="77777777" w:rsidR="00084741" w:rsidRPr="008A46A3" w:rsidRDefault="00084741" w:rsidP="00084741">
      <w:pPr>
        <w:pStyle w:val="ListParagraph"/>
        <w:spacing w:after="0" w:line="240" w:lineRule="auto"/>
        <w:rPr>
          <w:rFonts w:ascii="Arial" w:hAnsi="Arial" w:cs="Arial"/>
          <w:u w:val="single"/>
        </w:rPr>
      </w:pPr>
    </w:p>
    <w:p w14:paraId="63C60668" w14:textId="77777777" w:rsidR="00084741" w:rsidRPr="008A46A3" w:rsidRDefault="00084741" w:rsidP="00084741">
      <w:pPr>
        <w:spacing w:after="0" w:line="240" w:lineRule="auto"/>
        <w:rPr>
          <w:rFonts w:ascii="Arial" w:hAnsi="Arial" w:cs="Arial"/>
        </w:rPr>
      </w:pPr>
      <w:r w:rsidRPr="008A46A3">
        <w:rPr>
          <w:rFonts w:ascii="Arial" w:hAnsi="Arial" w:cs="Arial"/>
        </w:rPr>
        <w:t xml:space="preserve">Preston does not have any “green belt” designated sites instead it uses “Areas of Separation (As)” between the rural and urban areas. This site is within the current Central Lancashire Core Strategy and the documents submitted to the CLLP state it should be retained. </w:t>
      </w:r>
    </w:p>
    <w:p w14:paraId="3EF0ADE1" w14:textId="77777777" w:rsidR="00084741" w:rsidRPr="008A46A3" w:rsidRDefault="00084741" w:rsidP="00084741">
      <w:pPr>
        <w:shd w:val="clear" w:color="auto" w:fill="FFFFFF"/>
        <w:spacing w:after="100" w:afterAutospacing="1" w:line="240" w:lineRule="auto"/>
        <w:rPr>
          <w:rFonts w:ascii="Arial" w:eastAsia="Times New Roman" w:hAnsi="Arial" w:cs="Arial"/>
          <w:lang w:eastAsia="en-GB"/>
        </w:rPr>
      </w:pPr>
      <w:hyperlink r:id="rId8" w:history="1">
        <w:r w:rsidRPr="008A46A3">
          <w:rPr>
            <w:rFonts w:ascii="Arial" w:eastAsia="Times New Roman" w:hAnsi="Arial" w:cs="Arial"/>
            <w:color w:val="0563C1" w:themeColor="hyperlink"/>
            <w:u w:val="single"/>
            <w:lang w:eastAsia="en-GB"/>
          </w:rPr>
          <w:t>https://centrallocalplan.lancashire.gov.uk/media/1180/green-belt-designations-study-main-report.pdf</w:t>
        </w:r>
      </w:hyperlink>
      <w:r w:rsidRPr="008A46A3">
        <w:rPr>
          <w:rFonts w:ascii="Arial" w:eastAsia="Times New Roman" w:hAnsi="Arial" w:cs="Arial"/>
          <w:lang w:eastAsia="en-GB"/>
        </w:rPr>
        <w:t xml:space="preserve"> </w:t>
      </w:r>
    </w:p>
    <w:p w14:paraId="324B725F" w14:textId="77777777" w:rsidR="00084741" w:rsidRPr="008A46A3" w:rsidRDefault="00084741" w:rsidP="00084741">
      <w:pPr>
        <w:shd w:val="clear" w:color="auto" w:fill="FFFFFF"/>
        <w:spacing w:after="100" w:afterAutospacing="1" w:line="240" w:lineRule="auto"/>
        <w:rPr>
          <w:rFonts w:ascii="Arial" w:eastAsia="Times New Roman" w:hAnsi="Arial" w:cs="Arial"/>
          <w:lang w:eastAsia="en-GB"/>
        </w:rPr>
      </w:pPr>
      <w:r w:rsidRPr="008A46A3">
        <w:rPr>
          <w:rFonts w:ascii="Arial" w:eastAsia="Times New Roman" w:hAnsi="Arial" w:cs="Arial"/>
          <w:lang w:eastAsia="en-GB"/>
        </w:rPr>
        <w:t>The Open Land Assessment Study (October 2022) divides the land into parcels and then assesses them N5-N12, N14-N20 &amp; N27 are the groupings for the rural parishes. N6, 7, 9, 14, 18 &amp; 19 are seen as having a high significance to “checking the unrestricted sprawl of large built-up areas”. These are the areas in the south that abut the Motorways and main highways east.  N6, 14, 27 &amp; 20 are seen as making a moderate contribution to stopping neighbourhoods merging and M18 &amp; 19 having a significant contribution. (</w:t>
      </w:r>
      <w:proofErr w:type="spellStart"/>
      <w:r w:rsidRPr="008A46A3">
        <w:rPr>
          <w:rFonts w:ascii="Arial" w:eastAsia="Times New Roman" w:hAnsi="Arial" w:cs="Arial"/>
          <w:lang w:eastAsia="en-GB"/>
        </w:rPr>
        <w:t>Haighton</w:t>
      </w:r>
      <w:proofErr w:type="spellEnd"/>
      <w:r w:rsidRPr="008A46A3">
        <w:rPr>
          <w:rFonts w:ascii="Arial" w:eastAsia="Times New Roman" w:hAnsi="Arial" w:cs="Arial"/>
          <w:lang w:eastAsia="en-GB"/>
        </w:rPr>
        <w:t xml:space="preserve"> &amp; </w:t>
      </w:r>
      <w:proofErr w:type="spellStart"/>
      <w:r w:rsidRPr="008A46A3">
        <w:rPr>
          <w:rFonts w:ascii="Arial" w:eastAsia="Times New Roman" w:hAnsi="Arial" w:cs="Arial"/>
          <w:lang w:eastAsia="en-GB"/>
        </w:rPr>
        <w:t>Grimsagh</w:t>
      </w:r>
      <w:proofErr w:type="spellEnd"/>
      <w:r w:rsidRPr="008A46A3">
        <w:rPr>
          <w:rFonts w:ascii="Arial" w:eastAsia="Times New Roman" w:hAnsi="Arial" w:cs="Arial"/>
          <w:lang w:eastAsia="en-GB"/>
        </w:rPr>
        <w:t>)</w:t>
      </w:r>
    </w:p>
    <w:p w14:paraId="136F73FE" w14:textId="77777777" w:rsidR="00084741" w:rsidRPr="008A46A3" w:rsidRDefault="00084741" w:rsidP="00084741">
      <w:pPr>
        <w:widowControl w:val="0"/>
        <w:tabs>
          <w:tab w:val="left" w:pos="841"/>
        </w:tabs>
        <w:autoSpaceDE w:val="0"/>
        <w:autoSpaceDN w:val="0"/>
        <w:spacing w:before="84" w:after="0" w:line="240" w:lineRule="auto"/>
        <w:rPr>
          <w:rFonts w:ascii="Arial" w:eastAsia="Arial" w:hAnsi="Arial" w:cs="Arial"/>
          <w:lang w:val="en-US" w:bidi="en-US"/>
        </w:rPr>
      </w:pPr>
      <w:r w:rsidRPr="008A46A3">
        <w:rPr>
          <w:rFonts w:ascii="Arial" w:eastAsia="Times New Roman" w:hAnsi="Arial" w:cs="Arial"/>
          <w:lang w:eastAsia="en-GB"/>
        </w:rPr>
        <w:t xml:space="preserve">Preston local plan policy </w:t>
      </w:r>
      <w:r w:rsidRPr="008A46A3">
        <w:rPr>
          <w:rFonts w:ascii="Arial" w:eastAsia="Arial" w:hAnsi="Arial" w:cs="Arial"/>
          <w:lang w:val="en-US" w:bidi="en-US"/>
        </w:rPr>
        <w:t xml:space="preserve">EN1 “Housing development within Open Countryside” states that </w:t>
      </w:r>
      <w:r w:rsidRPr="008A46A3">
        <w:rPr>
          <w:rFonts w:ascii="Arial" w:eastAsia="Arial" w:hAnsi="Arial" w:cs="Arial"/>
          <w:lang w:val="en-US" w:bidi="en-US"/>
        </w:rPr>
        <w:lastRenderedPageBreak/>
        <w:t>development is restricted</w:t>
      </w:r>
      <w:r w:rsidRPr="008A46A3">
        <w:rPr>
          <w:rFonts w:ascii="Arial" w:eastAsia="Arial" w:hAnsi="Arial" w:cs="Arial"/>
          <w:spacing w:val="-15"/>
          <w:lang w:val="en-US" w:bidi="en-US"/>
        </w:rPr>
        <w:t xml:space="preserve"> </w:t>
      </w:r>
      <w:proofErr w:type="gramStart"/>
      <w:r w:rsidRPr="008A46A3">
        <w:rPr>
          <w:rFonts w:ascii="Arial" w:eastAsia="Arial" w:hAnsi="Arial" w:cs="Arial"/>
          <w:lang w:val="en-US" w:bidi="en-US"/>
        </w:rPr>
        <w:t>to:-</w:t>
      </w:r>
      <w:proofErr w:type="gramEnd"/>
    </w:p>
    <w:p w14:paraId="35C183B5" w14:textId="77777777" w:rsidR="00084741" w:rsidRPr="008A46A3" w:rsidRDefault="00084741" w:rsidP="00084741">
      <w:pPr>
        <w:widowControl w:val="0"/>
        <w:autoSpaceDE w:val="0"/>
        <w:autoSpaceDN w:val="0"/>
        <w:spacing w:after="0" w:line="240" w:lineRule="auto"/>
        <w:rPr>
          <w:rFonts w:ascii="Arial" w:eastAsia="Arial" w:hAnsi="Arial" w:cs="Arial"/>
          <w:lang w:val="en-US" w:bidi="en-US"/>
        </w:rPr>
      </w:pPr>
    </w:p>
    <w:p w14:paraId="5BE68594" w14:textId="77777777" w:rsidR="00084741" w:rsidRPr="008A46A3" w:rsidRDefault="00084741" w:rsidP="00084741">
      <w:pPr>
        <w:pStyle w:val="ListParagraph"/>
        <w:widowControl w:val="0"/>
        <w:numPr>
          <w:ilvl w:val="0"/>
          <w:numId w:val="1"/>
        </w:numPr>
        <w:tabs>
          <w:tab w:val="left" w:pos="1822"/>
        </w:tabs>
        <w:autoSpaceDE w:val="0"/>
        <w:autoSpaceDN w:val="0"/>
        <w:spacing w:after="0" w:line="240" w:lineRule="auto"/>
        <w:rPr>
          <w:rFonts w:ascii="Arial" w:eastAsia="Arial" w:hAnsi="Arial" w:cs="Arial"/>
          <w:lang w:val="en-US" w:bidi="en-US"/>
        </w:rPr>
      </w:pPr>
      <w:r w:rsidRPr="008A46A3">
        <w:rPr>
          <w:rFonts w:ascii="Arial" w:eastAsia="Arial" w:hAnsi="Arial" w:cs="Arial"/>
          <w:lang w:val="en-US" w:bidi="en-US"/>
        </w:rPr>
        <w:t>The re-use or re-habitation of existing</w:t>
      </w:r>
      <w:r w:rsidRPr="008A46A3">
        <w:rPr>
          <w:rFonts w:ascii="Arial" w:eastAsia="Arial" w:hAnsi="Arial" w:cs="Arial"/>
          <w:spacing w:val="-6"/>
          <w:lang w:val="en-US" w:bidi="en-US"/>
        </w:rPr>
        <w:t xml:space="preserve"> </w:t>
      </w:r>
      <w:r w:rsidRPr="008A46A3">
        <w:rPr>
          <w:rFonts w:ascii="Arial" w:eastAsia="Arial" w:hAnsi="Arial" w:cs="Arial"/>
          <w:lang w:val="en-US" w:bidi="en-US"/>
        </w:rPr>
        <w:t>buildings</w:t>
      </w:r>
    </w:p>
    <w:p w14:paraId="359F5BE7" w14:textId="77777777" w:rsidR="00084741" w:rsidRPr="008A46A3" w:rsidRDefault="00084741" w:rsidP="00084741">
      <w:pPr>
        <w:pStyle w:val="ListParagraph"/>
        <w:widowControl w:val="0"/>
        <w:numPr>
          <w:ilvl w:val="0"/>
          <w:numId w:val="1"/>
        </w:numPr>
        <w:tabs>
          <w:tab w:val="left" w:pos="1822"/>
        </w:tabs>
        <w:autoSpaceDE w:val="0"/>
        <w:autoSpaceDN w:val="0"/>
        <w:spacing w:after="0" w:line="240" w:lineRule="auto"/>
        <w:ind w:right="154"/>
        <w:rPr>
          <w:rFonts w:ascii="Arial" w:eastAsia="Arial" w:hAnsi="Arial" w:cs="Arial"/>
          <w:lang w:val="en-US" w:bidi="en-US"/>
        </w:rPr>
      </w:pPr>
      <w:r w:rsidRPr="008A46A3">
        <w:rPr>
          <w:rFonts w:ascii="Arial" w:eastAsia="Arial" w:hAnsi="Arial" w:cs="Arial"/>
          <w:lang w:val="en-US" w:bidi="en-US"/>
        </w:rPr>
        <w:t>Infilling within groups of buildings in smaller retail settlements (not identified as a village)</w:t>
      </w:r>
    </w:p>
    <w:p w14:paraId="3D957E4A" w14:textId="77777777" w:rsidR="00084741" w:rsidRPr="008A46A3" w:rsidRDefault="00084741" w:rsidP="00084741">
      <w:pPr>
        <w:pStyle w:val="ListParagraph"/>
        <w:widowControl w:val="0"/>
        <w:numPr>
          <w:ilvl w:val="0"/>
          <w:numId w:val="1"/>
        </w:numPr>
        <w:tabs>
          <w:tab w:val="left" w:pos="1822"/>
        </w:tabs>
        <w:autoSpaceDE w:val="0"/>
        <w:autoSpaceDN w:val="0"/>
        <w:spacing w:before="1" w:after="0" w:line="240" w:lineRule="auto"/>
        <w:ind w:right="301"/>
        <w:rPr>
          <w:rFonts w:ascii="Arial" w:eastAsia="Arial" w:hAnsi="Arial" w:cs="Arial"/>
          <w:lang w:val="en-US" w:bidi="en-US"/>
        </w:rPr>
      </w:pPr>
      <w:r w:rsidRPr="008A46A3">
        <w:rPr>
          <w:rFonts w:ascii="Arial" w:eastAsia="Arial" w:hAnsi="Arial" w:cs="Arial"/>
          <w:lang w:val="en-US" w:bidi="en-US"/>
        </w:rPr>
        <w:t>Rural Exception Affordable Housing Developments adjoining village settlement boundaries where need for such housing has been established by a comprehensive needs assessment for the local</w:t>
      </w:r>
      <w:r w:rsidRPr="008A46A3">
        <w:rPr>
          <w:rFonts w:ascii="Arial" w:eastAsia="Arial" w:hAnsi="Arial" w:cs="Arial"/>
          <w:spacing w:val="-12"/>
          <w:lang w:val="en-US" w:bidi="en-US"/>
        </w:rPr>
        <w:t xml:space="preserve"> </w:t>
      </w:r>
      <w:r w:rsidRPr="008A46A3">
        <w:rPr>
          <w:rFonts w:ascii="Arial" w:eastAsia="Arial" w:hAnsi="Arial" w:cs="Arial"/>
          <w:lang w:val="en-US" w:bidi="en-US"/>
        </w:rPr>
        <w:t>area.</w:t>
      </w:r>
    </w:p>
    <w:p w14:paraId="2B1AC0C4" w14:textId="77777777" w:rsidR="00084741" w:rsidRPr="008A46A3" w:rsidRDefault="00084741" w:rsidP="00084741">
      <w:pPr>
        <w:shd w:val="clear" w:color="auto" w:fill="FFFFFF"/>
        <w:spacing w:after="100" w:afterAutospacing="1" w:line="240" w:lineRule="auto"/>
        <w:rPr>
          <w:rFonts w:ascii="Arial" w:eastAsia="Times New Roman" w:hAnsi="Arial" w:cs="Arial"/>
          <w:lang w:eastAsia="en-GB"/>
        </w:rPr>
      </w:pPr>
      <w:r w:rsidRPr="008A46A3">
        <w:rPr>
          <w:rFonts w:ascii="Arial" w:eastAsia="Arial" w:hAnsi="Arial" w:cs="Arial"/>
          <w:lang w:val="en-US" w:bidi="en-US"/>
        </w:rPr>
        <w:t>Rural Workers dwellings where there is a functional need for workers to live near their place of work and no suitable existing accommodation and subject to other</w:t>
      </w:r>
      <w:r w:rsidRPr="008A46A3">
        <w:rPr>
          <w:rFonts w:ascii="Arial" w:eastAsia="Arial" w:hAnsi="Arial" w:cs="Arial"/>
          <w:spacing w:val="-4"/>
          <w:lang w:val="en-US" w:bidi="en-US"/>
        </w:rPr>
        <w:t xml:space="preserve"> </w:t>
      </w:r>
      <w:r w:rsidRPr="008A46A3">
        <w:rPr>
          <w:rFonts w:ascii="Arial" w:eastAsia="Arial" w:hAnsi="Arial" w:cs="Arial"/>
          <w:lang w:val="en-US" w:bidi="en-US"/>
        </w:rPr>
        <w:t>criteria</w:t>
      </w:r>
    </w:p>
    <w:p w14:paraId="3C61D78D" w14:textId="77777777" w:rsidR="00084741" w:rsidRPr="008A46A3" w:rsidRDefault="00084741" w:rsidP="00084741">
      <w:pPr>
        <w:shd w:val="clear" w:color="auto" w:fill="FFFFFF"/>
        <w:spacing w:after="100" w:afterAutospacing="1" w:line="240" w:lineRule="auto"/>
        <w:rPr>
          <w:rFonts w:ascii="Arial" w:eastAsia="Times New Roman" w:hAnsi="Arial" w:cs="Arial"/>
          <w:b/>
          <w:i/>
          <w:lang w:eastAsia="en-GB"/>
        </w:rPr>
      </w:pPr>
      <w:r w:rsidRPr="008A46A3">
        <w:rPr>
          <w:rFonts w:ascii="Arial" w:eastAsia="Times New Roman" w:hAnsi="Arial" w:cs="Arial"/>
          <w:b/>
          <w:i/>
          <w:lang w:eastAsia="en-GB"/>
        </w:rPr>
        <w:t>This site should not be developed as it is within the designated Area of Separation and is a Greenfield site contrary to the planning policy of PCC &amp; BNDP</w:t>
      </w:r>
    </w:p>
    <w:p w14:paraId="1478A62E" w14:textId="77777777" w:rsidR="00084741" w:rsidRPr="008A46A3" w:rsidRDefault="00084741" w:rsidP="00084741">
      <w:pPr>
        <w:pStyle w:val="ListParagraph"/>
        <w:numPr>
          <w:ilvl w:val="0"/>
          <w:numId w:val="1"/>
        </w:numPr>
        <w:spacing w:after="0" w:line="240" w:lineRule="auto"/>
        <w:rPr>
          <w:rFonts w:ascii="Arial" w:hAnsi="Arial" w:cs="Arial"/>
          <w:u w:val="single"/>
        </w:rPr>
      </w:pPr>
      <w:r w:rsidRPr="008A46A3">
        <w:rPr>
          <w:rFonts w:ascii="Arial" w:hAnsi="Arial" w:cs="Arial"/>
          <w:u w:val="single"/>
        </w:rPr>
        <w:t>The site is within view of the Grade 2 listed properties/sites at Bank Hall and the Village War Memorial</w:t>
      </w:r>
    </w:p>
    <w:p w14:paraId="738BFFBC" w14:textId="77777777" w:rsidR="00084741" w:rsidRPr="008A46A3" w:rsidRDefault="00084741" w:rsidP="00084741">
      <w:pPr>
        <w:spacing w:after="0" w:line="240" w:lineRule="auto"/>
        <w:ind w:left="360"/>
        <w:rPr>
          <w:rFonts w:ascii="Arial" w:hAnsi="Arial" w:cs="Arial"/>
        </w:rPr>
      </w:pPr>
    </w:p>
    <w:p w14:paraId="5CDEC502" w14:textId="77777777" w:rsidR="00084741" w:rsidRPr="008A46A3" w:rsidRDefault="00084741" w:rsidP="00084741">
      <w:pPr>
        <w:spacing w:after="0" w:line="240" w:lineRule="auto"/>
        <w:rPr>
          <w:rFonts w:ascii="Arial" w:hAnsi="Arial" w:cs="Arial"/>
        </w:rPr>
      </w:pPr>
      <w:r w:rsidRPr="008A46A3">
        <w:rPr>
          <w:rFonts w:ascii="Arial" w:hAnsi="Arial" w:cs="Arial"/>
        </w:rPr>
        <w:t xml:space="preserve">The BNDP sets out to protect the listed heritage assets in the Village and their environment. </w:t>
      </w:r>
    </w:p>
    <w:p w14:paraId="6938C55A" w14:textId="77777777" w:rsidR="00084741" w:rsidRPr="008A46A3" w:rsidRDefault="00084741" w:rsidP="00084741">
      <w:pPr>
        <w:spacing w:after="0" w:line="240" w:lineRule="auto"/>
        <w:rPr>
          <w:rFonts w:ascii="Arial" w:hAnsi="Arial" w:cs="Arial"/>
        </w:rPr>
      </w:pPr>
      <w:r w:rsidRPr="008A46A3">
        <w:rPr>
          <w:rFonts w:ascii="Arial" w:hAnsi="Arial" w:cs="Arial"/>
        </w:rPr>
        <w:t xml:space="preserve">Section 11 concentrates on the “Built Environment &amp; Heritage” and includes both the national listed properties of which both the memorial and bank hall are and a local list. Secom looked at heritage assets stressing the need to preserve their historic environment. </w:t>
      </w:r>
    </w:p>
    <w:p w14:paraId="41F7EF8D" w14:textId="77777777" w:rsidR="00084741" w:rsidRPr="008A46A3" w:rsidRDefault="00084741" w:rsidP="00084741">
      <w:pPr>
        <w:spacing w:after="159" w:line="261" w:lineRule="auto"/>
        <w:ind w:right="91"/>
        <w:rPr>
          <w:rFonts w:ascii="Arial" w:eastAsia="Arial" w:hAnsi="Arial" w:cs="Arial"/>
          <w:b/>
          <w:lang w:eastAsia="en-GB"/>
        </w:rPr>
      </w:pPr>
    </w:p>
    <w:p w14:paraId="5FADD69A" w14:textId="77777777" w:rsidR="00084741" w:rsidRPr="008A46A3" w:rsidRDefault="00084741" w:rsidP="00084741">
      <w:pPr>
        <w:spacing w:after="159" w:line="261" w:lineRule="auto"/>
        <w:ind w:right="91"/>
        <w:rPr>
          <w:rFonts w:ascii="Arial" w:eastAsia="Arial" w:hAnsi="Arial" w:cs="Arial"/>
          <w:lang w:eastAsia="en-GB"/>
        </w:rPr>
      </w:pPr>
      <w:r w:rsidRPr="008A46A3">
        <w:rPr>
          <w:rFonts w:ascii="Arial" w:eastAsia="Arial" w:hAnsi="Arial" w:cs="Arial"/>
          <w:lang w:eastAsia="en-GB"/>
        </w:rPr>
        <w:t>BNDP 11.4 policy HE states that “The heritage assets identified in the Heritage Register in this plan and any subsequent reviews shall be protected in accordance with policies EN8 and EN9 in the Preston Local Plan and national guidance.</w:t>
      </w:r>
    </w:p>
    <w:p w14:paraId="2B0EBEBE" w14:textId="77777777" w:rsidR="00084741" w:rsidRPr="008A46A3" w:rsidRDefault="00084741" w:rsidP="00084741">
      <w:pPr>
        <w:spacing w:after="0" w:line="240" w:lineRule="auto"/>
        <w:rPr>
          <w:rFonts w:ascii="Arial" w:hAnsi="Arial" w:cs="Arial"/>
          <w:u w:val="single"/>
        </w:rPr>
      </w:pPr>
      <w:r w:rsidRPr="008A46A3">
        <w:rPr>
          <w:rFonts w:ascii="Arial" w:hAnsi="Arial" w:cs="Arial"/>
          <w:i/>
        </w:rPr>
        <w:t xml:space="preserve">CLCS Policy 16: Heritage Assets </w:t>
      </w:r>
      <w:r w:rsidRPr="008A46A3">
        <w:rPr>
          <w:rFonts w:ascii="Arial" w:hAnsi="Arial" w:cs="Arial"/>
        </w:rPr>
        <w:t>states that:</w:t>
      </w:r>
    </w:p>
    <w:p w14:paraId="6FB84EF8" w14:textId="77777777" w:rsidR="00084741" w:rsidRPr="008A46A3" w:rsidRDefault="00084741" w:rsidP="00084741">
      <w:pPr>
        <w:spacing w:after="291" w:line="255" w:lineRule="auto"/>
        <w:ind w:right="722"/>
        <w:rPr>
          <w:rFonts w:ascii="Arial" w:hAnsi="Arial" w:cs="Arial"/>
        </w:rPr>
      </w:pPr>
      <w:r w:rsidRPr="008A46A3">
        <w:rPr>
          <w:rFonts w:ascii="Arial" w:hAnsi="Arial" w:cs="Arial"/>
        </w:rPr>
        <w:t xml:space="preserve">“The policy sets out to protect and seek opportunities to enhance the historic environment, heritage assets and their settings by safeguarding heritage assets from inappropriate development, supporting development or other initiatives where they protect and enhance the local character, management and historic significance of heritage assets and identifying and adopting a local list of heritage assets”  </w:t>
      </w:r>
    </w:p>
    <w:p w14:paraId="0CBA7908" w14:textId="77777777" w:rsidR="00084741" w:rsidRPr="008A46A3" w:rsidRDefault="00084741" w:rsidP="00084741">
      <w:pPr>
        <w:spacing w:after="291" w:line="255" w:lineRule="auto"/>
        <w:ind w:right="722"/>
        <w:rPr>
          <w:rFonts w:ascii="Arial" w:hAnsi="Arial" w:cs="Arial"/>
          <w:b/>
          <w:i/>
        </w:rPr>
      </w:pPr>
      <w:r w:rsidRPr="008A46A3">
        <w:rPr>
          <w:rFonts w:ascii="Arial" w:hAnsi="Arial" w:cs="Arial"/>
          <w:b/>
          <w:i/>
        </w:rPr>
        <w:t>This development should not be allowed as it will be directly in front of Bank Hall and just to the north of the war memorial casing a direct impact on the setting of both of these grad 2 listed sites</w:t>
      </w:r>
    </w:p>
    <w:p w14:paraId="68C1E1F9" w14:textId="77777777" w:rsidR="00084741" w:rsidRPr="008A46A3" w:rsidRDefault="00084741" w:rsidP="00084741">
      <w:pPr>
        <w:pStyle w:val="ListParagraph"/>
        <w:numPr>
          <w:ilvl w:val="0"/>
          <w:numId w:val="1"/>
        </w:numPr>
        <w:spacing w:after="0" w:line="240" w:lineRule="auto"/>
        <w:rPr>
          <w:rFonts w:ascii="Arial" w:hAnsi="Arial" w:cs="Arial"/>
        </w:rPr>
      </w:pPr>
      <w:r w:rsidRPr="008A46A3">
        <w:rPr>
          <w:rFonts w:ascii="Arial" w:hAnsi="Arial" w:cs="Arial"/>
          <w:u w:val="single"/>
        </w:rPr>
        <w:t>The site exits onto the Garstang Road crossing the Guild Wheel/ Garstang Road cycle track onto the road</w:t>
      </w:r>
    </w:p>
    <w:p w14:paraId="710704E4" w14:textId="77777777" w:rsidR="00084741" w:rsidRPr="008A46A3" w:rsidRDefault="00084741" w:rsidP="00084741">
      <w:pPr>
        <w:spacing w:after="0" w:line="240" w:lineRule="auto"/>
        <w:rPr>
          <w:rFonts w:ascii="Arial" w:hAnsi="Arial" w:cs="Arial"/>
        </w:rPr>
      </w:pPr>
    </w:p>
    <w:p w14:paraId="35538D33" w14:textId="77777777" w:rsidR="00084741" w:rsidRPr="008A46A3" w:rsidRDefault="00084741" w:rsidP="00084741">
      <w:pPr>
        <w:spacing w:after="0" w:line="240" w:lineRule="auto"/>
        <w:rPr>
          <w:rFonts w:ascii="Arial" w:hAnsi="Arial" w:cs="Arial"/>
        </w:rPr>
      </w:pPr>
      <w:r w:rsidRPr="008A46A3">
        <w:rPr>
          <w:rFonts w:ascii="Arial" w:hAnsi="Arial" w:cs="Arial"/>
        </w:rPr>
        <w:lastRenderedPageBreak/>
        <w:t>In October 2018 the bypass around Broughton was opened, the Garstang Road was narrowed, two speed humps were installed by the primary school, a 20mph local speed limit implemented, parking restrictions implemented and the crossroads traffic lights removed. The desired effect of reducing traffic was partly met but the speed limit is not adhered to, the crossroads has been the scene of many accidents and pavement parking has increased.</w:t>
      </w:r>
    </w:p>
    <w:p w14:paraId="5776F021" w14:textId="77777777" w:rsidR="009C543C" w:rsidRPr="008A46A3" w:rsidRDefault="009C543C" w:rsidP="00084741">
      <w:pPr>
        <w:spacing w:after="0" w:line="240" w:lineRule="auto"/>
        <w:rPr>
          <w:rFonts w:ascii="Arial" w:hAnsi="Arial" w:cs="Arial"/>
        </w:rPr>
      </w:pPr>
    </w:p>
    <w:p w14:paraId="615CA66E" w14:textId="77777777" w:rsidR="00084741" w:rsidRPr="008A46A3" w:rsidRDefault="00084741" w:rsidP="00084741">
      <w:pPr>
        <w:spacing w:after="0" w:line="240" w:lineRule="auto"/>
        <w:rPr>
          <w:rFonts w:ascii="Arial" w:hAnsi="Arial" w:cs="Arial"/>
        </w:rPr>
      </w:pPr>
      <w:r w:rsidRPr="008A46A3">
        <w:rPr>
          <w:rFonts w:ascii="Arial" w:hAnsi="Arial" w:cs="Arial"/>
        </w:rPr>
        <w:t>The PC has installed a SPID just to the south of this site and has data that shows average speeds well over the permitted 20mph and higher than expected (90% reduction predicted by LCC post bypass) traffic numbers.</w:t>
      </w:r>
    </w:p>
    <w:p w14:paraId="3A69C00C" w14:textId="77777777" w:rsidR="00084741" w:rsidRPr="008A46A3" w:rsidRDefault="00084741" w:rsidP="00084741">
      <w:pPr>
        <w:spacing w:after="0" w:line="240" w:lineRule="auto"/>
        <w:rPr>
          <w:rFonts w:ascii="Arial" w:hAnsi="Arial" w:cs="Arial"/>
        </w:rPr>
      </w:pPr>
    </w:p>
    <w:p w14:paraId="05F97064" w14:textId="77777777" w:rsidR="00084741" w:rsidRPr="008A46A3" w:rsidRDefault="00084741" w:rsidP="00084741">
      <w:pPr>
        <w:spacing w:after="0" w:line="240" w:lineRule="auto"/>
        <w:rPr>
          <w:rFonts w:ascii="Arial" w:hAnsi="Arial" w:cs="Arial"/>
        </w:rPr>
      </w:pPr>
      <w:r w:rsidRPr="008A46A3">
        <w:rPr>
          <w:rFonts w:ascii="Arial" w:hAnsi="Arial" w:cs="Arial"/>
        </w:rPr>
        <w:t>This development will have several effects:</w:t>
      </w:r>
    </w:p>
    <w:p w14:paraId="4D59729C" w14:textId="77777777" w:rsidR="00084741" w:rsidRPr="008A46A3" w:rsidRDefault="00084741" w:rsidP="00084741">
      <w:pPr>
        <w:pStyle w:val="BodyA"/>
        <w:numPr>
          <w:ilvl w:val="0"/>
          <w:numId w:val="2"/>
        </w:numPr>
        <w:spacing w:after="0" w:line="240" w:lineRule="auto"/>
        <w:rPr>
          <w:rFonts w:ascii="Arial" w:hAnsi="Arial" w:cs="Arial"/>
          <w:bCs/>
        </w:rPr>
      </w:pPr>
      <w:r w:rsidRPr="008A46A3">
        <w:rPr>
          <w:rFonts w:ascii="Arial" w:hAnsi="Arial" w:cs="Arial"/>
        </w:rPr>
        <w:t>It crosses the cycle lane of the Guild wheel: the BNDP policy A12</w:t>
      </w:r>
      <w:r w:rsidRPr="008A46A3">
        <w:rPr>
          <w:rFonts w:ascii="Arial" w:hAnsi="Arial" w:cs="Arial"/>
          <w:b/>
          <w:bCs/>
        </w:rPr>
        <w:t xml:space="preserve"> </w:t>
      </w:r>
      <w:r w:rsidRPr="008A46A3">
        <w:rPr>
          <w:rFonts w:ascii="Arial" w:hAnsi="Arial" w:cs="Arial"/>
          <w:bCs/>
        </w:rPr>
        <w:t>states that “Proposals that would be to the detriment of the safety, amenity and enjoyment of users potentially reducing the numbers using this facility will not be permitted”. The access is directly across the cycle lane and as such will make the use of the cycle lane dangerous.</w:t>
      </w:r>
    </w:p>
    <w:p w14:paraId="7B8EB30B" w14:textId="77777777" w:rsidR="00084741" w:rsidRPr="008A46A3" w:rsidRDefault="00084741" w:rsidP="00084741">
      <w:pPr>
        <w:pStyle w:val="ListParagraph"/>
        <w:numPr>
          <w:ilvl w:val="0"/>
          <w:numId w:val="2"/>
        </w:numPr>
        <w:spacing w:after="0" w:line="240" w:lineRule="auto"/>
        <w:rPr>
          <w:rFonts w:ascii="Arial" w:hAnsi="Arial" w:cs="Arial"/>
        </w:rPr>
      </w:pPr>
      <w:r w:rsidRPr="008A46A3">
        <w:rPr>
          <w:rFonts w:ascii="Arial" w:hAnsi="Arial" w:cs="Arial"/>
        </w:rPr>
        <w:t xml:space="preserve">It will increase traffic onto the Garstang Road already more than the numbers predicted by LCC </w:t>
      </w:r>
    </w:p>
    <w:p w14:paraId="2C77AE2D" w14:textId="77777777" w:rsidR="00084741" w:rsidRPr="008A46A3" w:rsidRDefault="00084741" w:rsidP="00084741">
      <w:pPr>
        <w:spacing w:after="0" w:line="240" w:lineRule="auto"/>
        <w:rPr>
          <w:rFonts w:ascii="Arial" w:hAnsi="Arial" w:cs="Arial"/>
        </w:rPr>
      </w:pPr>
    </w:p>
    <w:p w14:paraId="0661AD86" w14:textId="77777777" w:rsidR="00084741" w:rsidRPr="008A46A3" w:rsidRDefault="00084741" w:rsidP="00084741">
      <w:pPr>
        <w:spacing w:after="0" w:line="240" w:lineRule="auto"/>
        <w:rPr>
          <w:rFonts w:ascii="Arial" w:hAnsi="Arial" w:cs="Arial"/>
          <w:b/>
          <w:i/>
        </w:rPr>
      </w:pPr>
      <w:r w:rsidRPr="008A46A3">
        <w:rPr>
          <w:rFonts w:ascii="Arial" w:hAnsi="Arial" w:cs="Arial"/>
          <w:b/>
          <w:i/>
        </w:rPr>
        <w:t>This site should not be developed as it will exacerbate the issues with speeding in a supposedly 20mph speed area, cross the well use cycle lane and increase the traffic onto the Garstang Road.</w:t>
      </w:r>
    </w:p>
    <w:p w14:paraId="6C4A917E" w14:textId="77777777" w:rsidR="00084741" w:rsidRPr="008A46A3" w:rsidRDefault="00084741" w:rsidP="00084741">
      <w:pPr>
        <w:spacing w:after="0" w:line="240" w:lineRule="auto"/>
        <w:rPr>
          <w:rFonts w:ascii="Arial" w:hAnsi="Arial" w:cs="Arial"/>
          <w:u w:val="single"/>
        </w:rPr>
      </w:pPr>
    </w:p>
    <w:p w14:paraId="03BC883C" w14:textId="77777777" w:rsidR="00084741" w:rsidRPr="008A46A3" w:rsidRDefault="00084741" w:rsidP="00084741">
      <w:pPr>
        <w:pStyle w:val="ListParagraph"/>
        <w:numPr>
          <w:ilvl w:val="0"/>
          <w:numId w:val="1"/>
        </w:numPr>
        <w:spacing w:after="0" w:line="240" w:lineRule="auto"/>
        <w:rPr>
          <w:rFonts w:ascii="Arial" w:hAnsi="Arial" w:cs="Arial"/>
        </w:rPr>
      </w:pPr>
      <w:r w:rsidRPr="008A46A3">
        <w:rPr>
          <w:rFonts w:ascii="Arial" w:hAnsi="Arial" w:cs="Arial"/>
          <w:u w:val="single"/>
        </w:rPr>
        <w:t xml:space="preserve">There has been no Community involvement or discussion   </w:t>
      </w:r>
    </w:p>
    <w:p w14:paraId="72C32A34" w14:textId="77777777" w:rsidR="00084741" w:rsidRPr="008A46A3" w:rsidRDefault="00084741" w:rsidP="00084741">
      <w:pPr>
        <w:spacing w:after="0" w:line="240" w:lineRule="auto"/>
        <w:rPr>
          <w:rFonts w:ascii="Arial" w:hAnsi="Arial" w:cs="Arial"/>
        </w:rPr>
      </w:pPr>
    </w:p>
    <w:p w14:paraId="443706E0" w14:textId="77777777" w:rsidR="00084741" w:rsidRPr="008A46A3" w:rsidRDefault="00084741" w:rsidP="00084741">
      <w:pPr>
        <w:spacing w:after="0" w:line="240" w:lineRule="auto"/>
        <w:rPr>
          <w:rFonts w:ascii="Arial" w:hAnsi="Arial" w:cs="Arial"/>
        </w:rPr>
      </w:pPr>
      <w:r w:rsidRPr="008A46A3">
        <w:rPr>
          <w:rFonts w:ascii="Arial" w:hAnsi="Arial" w:cs="Arial"/>
        </w:rPr>
        <w:t>In 2018/9 the Parish Council in response to the Parish Action Plan, which is made up of the Parish Action Points form the BNDP, highlighted a need to increase open spaces, increase off street parking and develop a community facility.</w:t>
      </w:r>
    </w:p>
    <w:p w14:paraId="0E0F8E21" w14:textId="77777777" w:rsidR="00084741" w:rsidRPr="008A46A3" w:rsidRDefault="00084741" w:rsidP="00084741">
      <w:pPr>
        <w:spacing w:after="0" w:line="240" w:lineRule="auto"/>
        <w:rPr>
          <w:rFonts w:ascii="Arial" w:hAnsi="Arial" w:cs="Arial"/>
        </w:rPr>
      </w:pPr>
      <w:r w:rsidRPr="008A46A3">
        <w:rPr>
          <w:rFonts w:ascii="Arial" w:hAnsi="Arial" w:cs="Arial"/>
        </w:rPr>
        <w:t xml:space="preserve">The PC looked a number of sites and buildings and approached local landowners for sites. The owners of this site were approached but stated they were going to apply for development. It should be noted that the identified site to the north east of the crossroads never responded but the site behind the existing development at </w:t>
      </w:r>
      <w:proofErr w:type="spellStart"/>
      <w:r w:rsidRPr="008A46A3">
        <w:rPr>
          <w:rFonts w:ascii="Arial" w:hAnsi="Arial" w:cs="Arial"/>
        </w:rPr>
        <w:t>Keyfold</w:t>
      </w:r>
      <w:proofErr w:type="spellEnd"/>
      <w:r w:rsidRPr="008A46A3">
        <w:rPr>
          <w:rFonts w:ascii="Arial" w:hAnsi="Arial" w:cs="Arial"/>
        </w:rPr>
        <w:t xml:space="preserve"> Farm did. The work with this developer will include a new park, allotments, a scout hut and additional land for the primary school to expand onto. Separately the PC is working with PCC to improve and extend the existing park, improve the playground and enhance the park with setting and footpaths.</w:t>
      </w:r>
    </w:p>
    <w:p w14:paraId="05CC37CC" w14:textId="77777777" w:rsidR="00084741" w:rsidRPr="008A46A3" w:rsidRDefault="00084741" w:rsidP="00084741">
      <w:pPr>
        <w:spacing w:after="0" w:line="240" w:lineRule="auto"/>
        <w:rPr>
          <w:rFonts w:ascii="Arial" w:hAnsi="Arial" w:cs="Arial"/>
        </w:rPr>
      </w:pPr>
    </w:p>
    <w:p w14:paraId="06853C3E" w14:textId="77777777" w:rsidR="00084741" w:rsidRPr="008A46A3" w:rsidRDefault="00084741" w:rsidP="00084741">
      <w:pPr>
        <w:spacing w:after="0" w:line="240" w:lineRule="auto"/>
        <w:rPr>
          <w:rFonts w:ascii="Arial" w:hAnsi="Arial" w:cs="Arial"/>
        </w:rPr>
      </w:pPr>
      <w:r w:rsidRPr="008A46A3">
        <w:rPr>
          <w:rFonts w:ascii="Arial" w:hAnsi="Arial" w:cs="Arial"/>
        </w:rPr>
        <w:t>Earlier this year the agent for this site sent a FOI request to the PC for information relating to how the BNDP review group were going to allocate sites. This was responded to within the agreed timescales. The agent then requested a F2F meeting when the approach to the allocation of sites as set out * in the started paragraph at the beginning of this letter.</w:t>
      </w:r>
    </w:p>
    <w:p w14:paraId="4064D3AA" w14:textId="77777777" w:rsidR="00084741" w:rsidRPr="008A46A3" w:rsidRDefault="00084741" w:rsidP="00084741">
      <w:pPr>
        <w:spacing w:after="0" w:line="240" w:lineRule="auto"/>
        <w:rPr>
          <w:rFonts w:ascii="Arial" w:hAnsi="Arial" w:cs="Arial"/>
          <w:i/>
        </w:rPr>
      </w:pPr>
    </w:p>
    <w:p w14:paraId="771902FC" w14:textId="77777777" w:rsidR="00084741" w:rsidRPr="008A46A3" w:rsidRDefault="00084741" w:rsidP="00084741">
      <w:pPr>
        <w:spacing w:after="0" w:line="240" w:lineRule="auto"/>
        <w:rPr>
          <w:rFonts w:ascii="Arial" w:hAnsi="Arial" w:cs="Arial"/>
          <w:b/>
          <w:i/>
        </w:rPr>
      </w:pPr>
      <w:r w:rsidRPr="008A46A3">
        <w:rPr>
          <w:rFonts w:ascii="Arial" w:hAnsi="Arial" w:cs="Arial"/>
          <w:b/>
          <w:i/>
        </w:rPr>
        <w:lastRenderedPageBreak/>
        <w:t>This site was not consulted on, will not meet any of the PAP’s form the BNDP and will only exacerbate the issues with parking and traffic in the village</w:t>
      </w:r>
    </w:p>
    <w:p w14:paraId="159482C6" w14:textId="77777777" w:rsidR="00084741" w:rsidRPr="008A46A3" w:rsidRDefault="00084741" w:rsidP="00084741">
      <w:pPr>
        <w:spacing w:after="0" w:line="240" w:lineRule="auto"/>
        <w:rPr>
          <w:rFonts w:ascii="Arial" w:hAnsi="Arial" w:cs="Arial"/>
        </w:rPr>
      </w:pPr>
    </w:p>
    <w:p w14:paraId="7D6997E7" w14:textId="77777777" w:rsidR="00084741" w:rsidRPr="008A46A3" w:rsidRDefault="00084741" w:rsidP="00084741">
      <w:pPr>
        <w:shd w:val="clear" w:color="auto" w:fill="FFFFFF"/>
        <w:spacing w:after="0" w:line="240" w:lineRule="auto"/>
        <w:rPr>
          <w:rFonts w:ascii="Arial" w:eastAsia="Times New Roman" w:hAnsi="Arial" w:cs="Arial"/>
          <w:color w:val="222222"/>
          <w:lang w:eastAsia="en-GB"/>
        </w:rPr>
      </w:pPr>
      <w:r w:rsidRPr="008A46A3">
        <w:rPr>
          <w:rFonts w:ascii="Arial" w:eastAsia="Times New Roman" w:hAnsi="Arial" w:cs="Arial"/>
          <w:color w:val="222222"/>
          <w:lang w:eastAsia="en-GB"/>
        </w:rPr>
        <w:t>It should be noted that this is a reapplication of the one turned down in 2022 and there should be a copy of the objections sent then available: 06/2021/1104.</w:t>
      </w:r>
    </w:p>
    <w:p w14:paraId="56F57F0A" w14:textId="77777777" w:rsidR="00084741" w:rsidRPr="008A46A3" w:rsidRDefault="00084741" w:rsidP="00084741">
      <w:pPr>
        <w:spacing w:after="0" w:line="240" w:lineRule="auto"/>
        <w:rPr>
          <w:rFonts w:ascii="Arial" w:eastAsia="Times New Roman" w:hAnsi="Arial" w:cs="Arial"/>
          <w:color w:val="222222"/>
          <w:lang w:eastAsia="en-GB"/>
        </w:rPr>
      </w:pPr>
    </w:p>
    <w:p w14:paraId="231781DE" w14:textId="77777777" w:rsidR="00084741" w:rsidRPr="008A46A3" w:rsidRDefault="00084741" w:rsidP="00084741">
      <w:pPr>
        <w:spacing w:after="0" w:line="240" w:lineRule="auto"/>
        <w:rPr>
          <w:rFonts w:ascii="Arial" w:eastAsia="Times New Roman" w:hAnsi="Arial" w:cs="Arial"/>
          <w:color w:val="222222"/>
          <w:lang w:eastAsia="en-GB"/>
        </w:rPr>
      </w:pPr>
      <w:r w:rsidRPr="008A46A3">
        <w:rPr>
          <w:rFonts w:ascii="Arial" w:eastAsia="Times New Roman" w:hAnsi="Arial" w:cs="Arial"/>
          <w:color w:val="222222"/>
          <w:lang w:eastAsia="en-GB"/>
        </w:rPr>
        <w:t>The Cllrs look forward to meeting you at the appeal next February. If you need any further details do not hesitate to contact me.</w:t>
      </w:r>
    </w:p>
    <w:p w14:paraId="013DC0C8" w14:textId="77777777" w:rsidR="00103471" w:rsidRPr="008A46A3" w:rsidRDefault="00103471" w:rsidP="00092D75">
      <w:pPr>
        <w:spacing w:after="0" w:line="240" w:lineRule="auto"/>
        <w:rPr>
          <w:rFonts w:ascii="Arial" w:hAnsi="Arial" w:cs="Arial"/>
        </w:rPr>
      </w:pPr>
    </w:p>
    <w:p w14:paraId="1ACC1491" w14:textId="77777777" w:rsidR="00FA0851" w:rsidRPr="008A46A3" w:rsidRDefault="00FA0851" w:rsidP="00092D75">
      <w:pPr>
        <w:spacing w:after="0" w:line="240" w:lineRule="auto"/>
        <w:rPr>
          <w:rFonts w:ascii="Arial" w:hAnsi="Arial" w:cs="Arial"/>
        </w:rPr>
      </w:pPr>
    </w:p>
    <w:p w14:paraId="3A6E850D" w14:textId="33A2EF20" w:rsidR="008F1F8F" w:rsidRPr="008A46A3" w:rsidRDefault="008F1F8F" w:rsidP="00092D75">
      <w:pPr>
        <w:spacing w:after="0" w:line="240" w:lineRule="auto"/>
        <w:rPr>
          <w:rFonts w:ascii="Arial" w:hAnsi="Arial" w:cs="Arial"/>
        </w:rPr>
      </w:pPr>
      <w:r w:rsidRPr="008A46A3">
        <w:rPr>
          <w:rFonts w:ascii="Arial" w:hAnsi="Arial" w:cs="Arial"/>
        </w:rPr>
        <w:t>Yours sincerely</w:t>
      </w:r>
    </w:p>
    <w:p w14:paraId="0CBC64FC" w14:textId="327AE087" w:rsidR="00102AE3" w:rsidRPr="008A46A3" w:rsidRDefault="00102AE3" w:rsidP="00092D75">
      <w:pPr>
        <w:spacing w:after="0" w:line="240" w:lineRule="auto"/>
        <w:rPr>
          <w:rFonts w:ascii="Arial" w:hAnsi="Arial" w:cs="Arial"/>
        </w:rPr>
      </w:pPr>
    </w:p>
    <w:p w14:paraId="2F0471BD" w14:textId="09047E39" w:rsidR="00102AE3" w:rsidRPr="008A46A3" w:rsidRDefault="00102AE3" w:rsidP="00092D75">
      <w:pPr>
        <w:spacing w:after="0" w:line="240" w:lineRule="auto"/>
        <w:rPr>
          <w:rFonts w:ascii="Arial" w:hAnsi="Arial" w:cs="Arial"/>
        </w:rPr>
      </w:pPr>
      <w:r w:rsidRPr="008A46A3">
        <w:rPr>
          <w:rFonts w:ascii="Arial" w:hAnsi="Arial" w:cs="Arial"/>
        </w:rPr>
        <w:t>Angela Nicholls</w:t>
      </w:r>
    </w:p>
    <w:p w14:paraId="3379417F" w14:textId="77777777" w:rsidR="008F1F8F" w:rsidRPr="008A46A3" w:rsidRDefault="008F1F8F" w:rsidP="00092D75">
      <w:pPr>
        <w:spacing w:after="0" w:line="240" w:lineRule="auto"/>
        <w:rPr>
          <w:rFonts w:ascii="Arial" w:hAnsi="Arial" w:cs="Arial"/>
        </w:rPr>
      </w:pPr>
    </w:p>
    <w:p w14:paraId="4DD2833F" w14:textId="3B9860C8" w:rsidR="008F1F8F" w:rsidRPr="008A46A3" w:rsidRDefault="00737A03" w:rsidP="00092D75">
      <w:pPr>
        <w:spacing w:after="0" w:line="240" w:lineRule="auto"/>
        <w:rPr>
          <w:rFonts w:ascii="Arial" w:hAnsi="Arial" w:cs="Arial"/>
        </w:rPr>
      </w:pPr>
      <w:r w:rsidRPr="008A46A3">
        <w:rPr>
          <w:rFonts w:ascii="Arial" w:hAnsi="Arial" w:cs="Arial"/>
        </w:rPr>
        <w:t>Angela Nicholls</w:t>
      </w:r>
    </w:p>
    <w:sectPr w:rsidR="008F1F8F" w:rsidRPr="008A46A3" w:rsidSect="009C543C">
      <w:headerReference w:type="default" r:id="rId9"/>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2556" w14:textId="77777777" w:rsidR="00625AC5" w:rsidRDefault="00625AC5" w:rsidP="003D0E76">
      <w:pPr>
        <w:spacing w:after="0" w:line="240" w:lineRule="auto"/>
      </w:pPr>
      <w:r>
        <w:separator/>
      </w:r>
    </w:p>
  </w:endnote>
  <w:endnote w:type="continuationSeparator" w:id="0">
    <w:p w14:paraId="4F8D3968" w14:textId="77777777" w:rsidR="00625AC5" w:rsidRDefault="00625AC5" w:rsidP="003D0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DC1E" w14:textId="77777777" w:rsidR="00625AC5" w:rsidRDefault="00625AC5" w:rsidP="003D0E76">
      <w:pPr>
        <w:spacing w:after="0" w:line="240" w:lineRule="auto"/>
      </w:pPr>
      <w:r>
        <w:separator/>
      </w:r>
    </w:p>
  </w:footnote>
  <w:footnote w:type="continuationSeparator" w:id="0">
    <w:p w14:paraId="157B24F4" w14:textId="77777777" w:rsidR="00625AC5" w:rsidRDefault="00625AC5" w:rsidP="003D0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76B8" w14:textId="77777777" w:rsidR="003D0E76" w:rsidRDefault="003D0E76" w:rsidP="003D0E76">
    <w:pPr>
      <w:pStyle w:val="Header"/>
      <w:jc w:val="center"/>
      <w:rPr>
        <w:rFonts w:ascii="Times New Roman" w:hAnsi="Times New Roman" w:cs="Times New Roman"/>
        <w:color w:val="0070C0"/>
        <w:sz w:val="72"/>
        <w:szCs w:val="72"/>
      </w:rPr>
    </w:pPr>
    <w:r w:rsidRPr="0016431C">
      <w:rPr>
        <w:rFonts w:ascii="Times New Roman" w:hAnsi="Times New Roman" w:cs="Times New Roman"/>
        <w:b/>
        <w:i/>
        <w:color w:val="0070C0"/>
        <w:sz w:val="72"/>
        <w:szCs w:val="72"/>
      </w:rPr>
      <w:t xml:space="preserve">Broughton in </w:t>
    </w:r>
    <w:proofErr w:type="spellStart"/>
    <w:r w:rsidRPr="0016431C">
      <w:rPr>
        <w:rFonts w:ascii="Times New Roman" w:hAnsi="Times New Roman" w:cs="Times New Roman"/>
        <w:b/>
        <w:i/>
        <w:color w:val="0070C0"/>
        <w:sz w:val="72"/>
        <w:szCs w:val="72"/>
      </w:rPr>
      <w:t>Amounderness</w:t>
    </w:r>
    <w:proofErr w:type="spellEnd"/>
    <w:r w:rsidRPr="0016431C">
      <w:rPr>
        <w:rFonts w:ascii="Times New Roman" w:hAnsi="Times New Roman" w:cs="Times New Roman"/>
        <w:b/>
        <w:i/>
        <w:color w:val="0070C0"/>
        <w:sz w:val="72"/>
        <w:szCs w:val="72"/>
      </w:rPr>
      <w:t xml:space="preserve"> Parish Council</w:t>
    </w:r>
  </w:p>
  <w:p w14:paraId="53103FE4" w14:textId="77777777" w:rsidR="003D0E76" w:rsidRPr="007769FE" w:rsidRDefault="003D0E76" w:rsidP="003D0E76">
    <w:pPr>
      <w:pStyle w:val="Header"/>
      <w:rPr>
        <w:rFonts w:ascii="Arial" w:hAnsi="Arial" w:cs="Arial"/>
        <w:color w:val="000000" w:themeColor="text1"/>
      </w:rPr>
    </w:pPr>
  </w:p>
  <w:p w14:paraId="30E29F21" w14:textId="4AE3D8DC" w:rsidR="00102AE3" w:rsidRPr="007769FE" w:rsidRDefault="003D0E76" w:rsidP="00102AE3">
    <w:pPr>
      <w:pStyle w:val="Header"/>
      <w:rPr>
        <w:rFonts w:ascii="Arial" w:hAnsi="Arial" w:cs="Arial"/>
        <w:color w:val="000000" w:themeColor="text1"/>
      </w:rPr>
    </w:pPr>
    <w:r w:rsidRPr="007769FE">
      <w:rPr>
        <w:rFonts w:ascii="Arial" w:hAnsi="Arial" w:cs="Arial"/>
        <w:color w:val="000000" w:themeColor="text1"/>
      </w:rPr>
      <w:t xml:space="preserve">Mrs </w:t>
    </w:r>
    <w:r w:rsidR="00737A03" w:rsidRPr="007769FE">
      <w:rPr>
        <w:rFonts w:ascii="Arial" w:hAnsi="Arial" w:cs="Arial"/>
        <w:color w:val="000000" w:themeColor="text1"/>
      </w:rPr>
      <w:t>A Nicholls</w:t>
    </w:r>
    <w:r w:rsidR="00102AE3" w:rsidRPr="007769FE">
      <w:rPr>
        <w:rFonts w:ascii="Arial" w:hAnsi="Arial" w:cs="Arial"/>
        <w:color w:val="000000" w:themeColor="text1"/>
      </w:rPr>
      <w:t xml:space="preserve"> Clerk to the Council</w:t>
    </w:r>
  </w:p>
  <w:p w14:paraId="05D8067B" w14:textId="23D78B48" w:rsidR="001B0C0C" w:rsidRPr="007769FE" w:rsidRDefault="00737A03" w:rsidP="001B0C0C">
    <w:pPr>
      <w:pStyle w:val="Header"/>
      <w:jc w:val="right"/>
      <w:rPr>
        <w:rFonts w:ascii="Arial" w:hAnsi="Arial" w:cs="Arial"/>
        <w:color w:val="202124"/>
        <w:shd w:val="clear" w:color="auto" w:fill="FFFFFF"/>
      </w:rPr>
    </w:pPr>
    <w:r w:rsidRPr="007769FE">
      <w:rPr>
        <w:rFonts w:ascii="Arial" w:hAnsi="Arial" w:cs="Arial"/>
        <w:color w:val="202124"/>
        <w:shd w:val="clear" w:color="auto" w:fill="FFFFFF"/>
      </w:rPr>
      <w:t>Toll Bar Cottage,</w:t>
    </w:r>
  </w:p>
  <w:p w14:paraId="0A02015F" w14:textId="6BF0EF2F" w:rsidR="00737A03" w:rsidRPr="007769FE" w:rsidRDefault="001B0C0C" w:rsidP="001B0C0C">
    <w:pPr>
      <w:pStyle w:val="Header"/>
      <w:jc w:val="right"/>
      <w:rPr>
        <w:rFonts w:ascii="Arial" w:hAnsi="Arial" w:cs="Arial"/>
        <w:color w:val="000000" w:themeColor="text1"/>
      </w:rPr>
    </w:pPr>
    <w:r w:rsidRPr="007769FE">
      <w:rPr>
        <w:rFonts w:ascii="Arial" w:hAnsi="Arial" w:cs="Arial"/>
        <w:color w:val="202124"/>
        <w:shd w:val="clear" w:color="auto" w:fill="FFFFFF"/>
      </w:rPr>
      <w:t>4</w:t>
    </w:r>
    <w:r w:rsidR="00737A03" w:rsidRPr="007769FE">
      <w:rPr>
        <w:rFonts w:ascii="Arial" w:hAnsi="Arial" w:cs="Arial"/>
        <w:color w:val="000000" w:themeColor="text1"/>
      </w:rPr>
      <w:t>76 Garstang Rd,</w:t>
    </w:r>
  </w:p>
  <w:p w14:paraId="092CD2EE" w14:textId="77777777" w:rsidR="00737A03" w:rsidRPr="007769FE" w:rsidRDefault="00737A03" w:rsidP="001B0C0C">
    <w:pPr>
      <w:pStyle w:val="Header"/>
      <w:jc w:val="right"/>
      <w:rPr>
        <w:rFonts w:ascii="Arial" w:hAnsi="Arial" w:cs="Arial"/>
        <w:color w:val="000000" w:themeColor="text1"/>
      </w:rPr>
    </w:pPr>
    <w:r w:rsidRPr="007769FE">
      <w:rPr>
        <w:rFonts w:ascii="Arial" w:hAnsi="Arial" w:cs="Arial"/>
        <w:color w:val="000000" w:themeColor="text1"/>
      </w:rPr>
      <w:t>Broughton,</w:t>
    </w:r>
  </w:p>
  <w:p w14:paraId="237DABD8" w14:textId="1514C208" w:rsidR="00737A03" w:rsidRPr="007769FE" w:rsidRDefault="00737A03" w:rsidP="001B0C0C">
    <w:pPr>
      <w:pStyle w:val="Header"/>
      <w:jc w:val="right"/>
      <w:rPr>
        <w:rFonts w:ascii="Arial" w:hAnsi="Arial" w:cs="Arial"/>
        <w:color w:val="000000" w:themeColor="text1"/>
      </w:rPr>
    </w:pPr>
    <w:r w:rsidRPr="007769FE">
      <w:rPr>
        <w:rFonts w:ascii="Arial" w:hAnsi="Arial" w:cs="Arial"/>
        <w:color w:val="000000" w:themeColor="text1"/>
      </w:rPr>
      <w:t>Preston</w:t>
    </w:r>
  </w:p>
  <w:p w14:paraId="32B5FA7D" w14:textId="58646C5F" w:rsidR="003D0E76" w:rsidRPr="007769FE" w:rsidRDefault="003D0E76" w:rsidP="001B0C0C">
    <w:pPr>
      <w:pStyle w:val="Header"/>
      <w:jc w:val="right"/>
      <w:rPr>
        <w:rFonts w:ascii="Arial" w:hAnsi="Arial" w:cs="Arial"/>
        <w:color w:val="000000" w:themeColor="text1"/>
      </w:rPr>
    </w:pPr>
    <w:r w:rsidRPr="007769FE">
      <w:rPr>
        <w:rFonts w:ascii="Arial" w:hAnsi="Arial" w:cs="Arial"/>
        <w:color w:val="000000" w:themeColor="text1"/>
      </w:rPr>
      <w:t>PR</w:t>
    </w:r>
    <w:r w:rsidR="00737A03" w:rsidRPr="007769FE">
      <w:rPr>
        <w:rFonts w:ascii="Arial" w:hAnsi="Arial" w:cs="Arial"/>
        <w:color w:val="000000" w:themeColor="text1"/>
      </w:rPr>
      <w:t>3</w:t>
    </w:r>
    <w:r w:rsidRPr="007769FE">
      <w:rPr>
        <w:rFonts w:ascii="Arial" w:hAnsi="Arial" w:cs="Arial"/>
        <w:color w:val="000000" w:themeColor="text1"/>
      </w:rPr>
      <w:t xml:space="preserve"> </w:t>
    </w:r>
    <w:r w:rsidR="00737A03" w:rsidRPr="007769FE">
      <w:rPr>
        <w:rFonts w:ascii="Arial" w:hAnsi="Arial" w:cs="Arial"/>
        <w:color w:val="000000" w:themeColor="text1"/>
      </w:rPr>
      <w:t>5JB</w:t>
    </w:r>
  </w:p>
  <w:p w14:paraId="0A576D19" w14:textId="77777777" w:rsidR="003D0E76" w:rsidRDefault="003D0E76" w:rsidP="001B0C0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2463D"/>
    <w:multiLevelType w:val="hybridMultilevel"/>
    <w:tmpl w:val="28DA96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F90C33"/>
    <w:multiLevelType w:val="hybridMultilevel"/>
    <w:tmpl w:val="85F0D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836422">
    <w:abstractNumId w:val="1"/>
  </w:num>
  <w:num w:numId="2" w16cid:durableId="1332830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76"/>
    <w:rsid w:val="00084741"/>
    <w:rsid w:val="00092D75"/>
    <w:rsid w:val="000A1B7C"/>
    <w:rsid w:val="00102AE3"/>
    <w:rsid w:val="00103471"/>
    <w:rsid w:val="001B0C0C"/>
    <w:rsid w:val="001C577B"/>
    <w:rsid w:val="002228F7"/>
    <w:rsid w:val="00266A8F"/>
    <w:rsid w:val="002965B4"/>
    <w:rsid w:val="003D0E76"/>
    <w:rsid w:val="00431F5C"/>
    <w:rsid w:val="005056A7"/>
    <w:rsid w:val="0053450B"/>
    <w:rsid w:val="005C0AE6"/>
    <w:rsid w:val="005D3DDF"/>
    <w:rsid w:val="0060070F"/>
    <w:rsid w:val="00625AC5"/>
    <w:rsid w:val="006868A5"/>
    <w:rsid w:val="006A4603"/>
    <w:rsid w:val="006A69CA"/>
    <w:rsid w:val="006A74D9"/>
    <w:rsid w:val="0072608B"/>
    <w:rsid w:val="00737A03"/>
    <w:rsid w:val="007538D4"/>
    <w:rsid w:val="0077679A"/>
    <w:rsid w:val="007769FE"/>
    <w:rsid w:val="0077729A"/>
    <w:rsid w:val="00880EDB"/>
    <w:rsid w:val="008A46A3"/>
    <w:rsid w:val="008C41AD"/>
    <w:rsid w:val="008F1F8F"/>
    <w:rsid w:val="00962BDC"/>
    <w:rsid w:val="00990FA5"/>
    <w:rsid w:val="00991F64"/>
    <w:rsid w:val="0099464D"/>
    <w:rsid w:val="009C543C"/>
    <w:rsid w:val="00A74EAE"/>
    <w:rsid w:val="00A75041"/>
    <w:rsid w:val="00AE6BAD"/>
    <w:rsid w:val="00B12610"/>
    <w:rsid w:val="00C5629F"/>
    <w:rsid w:val="00CE0B99"/>
    <w:rsid w:val="00D13668"/>
    <w:rsid w:val="00DB4B65"/>
    <w:rsid w:val="00DD412C"/>
    <w:rsid w:val="00F01055"/>
    <w:rsid w:val="00F22C8F"/>
    <w:rsid w:val="00F62897"/>
    <w:rsid w:val="00F64CC7"/>
    <w:rsid w:val="00FA0851"/>
    <w:rsid w:val="00FD5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CAA6"/>
  <w15:chartTrackingRefBased/>
  <w15:docId w15:val="{20EBA49C-BEBD-4498-9D0A-F4044D18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E76"/>
  </w:style>
  <w:style w:type="paragraph" w:styleId="Footer">
    <w:name w:val="footer"/>
    <w:basedOn w:val="Normal"/>
    <w:link w:val="FooterChar"/>
    <w:uiPriority w:val="99"/>
    <w:unhideWhenUsed/>
    <w:rsid w:val="003D0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E76"/>
  </w:style>
  <w:style w:type="paragraph" w:styleId="BodyTextIndent">
    <w:name w:val="Body Text Indent"/>
    <w:basedOn w:val="Normal"/>
    <w:link w:val="BodyTextIndentChar"/>
    <w:uiPriority w:val="99"/>
    <w:rsid w:val="00AE6BAD"/>
    <w:pPr>
      <w:spacing w:after="0" w:line="240" w:lineRule="auto"/>
      <w:ind w:left="432"/>
    </w:pPr>
    <w:rPr>
      <w:rFonts w:ascii="Arial Narrow" w:eastAsia="Times New Roman" w:hAnsi="Arial Narrow" w:cs="Times New Roman"/>
      <w:sz w:val="24"/>
      <w:szCs w:val="24"/>
      <w:lang w:val="en-AU"/>
    </w:rPr>
  </w:style>
  <w:style w:type="character" w:customStyle="1" w:styleId="BodyTextIndentChar">
    <w:name w:val="Body Text Indent Char"/>
    <w:basedOn w:val="DefaultParagraphFont"/>
    <w:link w:val="BodyTextIndent"/>
    <w:uiPriority w:val="99"/>
    <w:rsid w:val="00AE6BAD"/>
    <w:rPr>
      <w:rFonts w:ascii="Arial Narrow" w:eastAsia="Times New Roman" w:hAnsi="Arial Narrow" w:cs="Times New Roman"/>
      <w:sz w:val="24"/>
      <w:szCs w:val="24"/>
      <w:lang w:val="en-AU"/>
    </w:rPr>
  </w:style>
  <w:style w:type="character" w:styleId="Hyperlink">
    <w:name w:val="Hyperlink"/>
    <w:basedOn w:val="DefaultParagraphFont"/>
    <w:uiPriority w:val="99"/>
    <w:unhideWhenUsed/>
    <w:rsid w:val="00CE0B99"/>
    <w:rPr>
      <w:color w:val="0000FF"/>
      <w:u w:val="single"/>
    </w:rPr>
  </w:style>
  <w:style w:type="paragraph" w:styleId="NormalWeb">
    <w:name w:val="Normal (Web)"/>
    <w:basedOn w:val="Normal"/>
    <w:uiPriority w:val="99"/>
    <w:unhideWhenUsed/>
    <w:rsid w:val="00B12610"/>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6A74D9"/>
    <w:pPr>
      <w:ind w:left="720"/>
      <w:contextualSpacing/>
    </w:pPr>
  </w:style>
  <w:style w:type="table" w:styleId="TableGrid">
    <w:name w:val="Table Grid"/>
    <w:basedOn w:val="TableNormal"/>
    <w:uiPriority w:val="39"/>
    <w:rsid w:val="00084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084741"/>
    <w:pPr>
      <w:pBdr>
        <w:top w:val="nil"/>
        <w:left w:val="nil"/>
        <w:bottom w:val="nil"/>
        <w:right w:val="nil"/>
        <w:between w:val="nil"/>
        <w:bar w:val="nil"/>
      </w:pBdr>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3536">
      <w:bodyDiv w:val="1"/>
      <w:marLeft w:val="0"/>
      <w:marRight w:val="0"/>
      <w:marTop w:val="0"/>
      <w:marBottom w:val="0"/>
      <w:divBdr>
        <w:top w:val="none" w:sz="0" w:space="0" w:color="auto"/>
        <w:left w:val="none" w:sz="0" w:space="0" w:color="auto"/>
        <w:bottom w:val="none" w:sz="0" w:space="0" w:color="auto"/>
        <w:right w:val="none" w:sz="0" w:space="0" w:color="auto"/>
      </w:divBdr>
      <w:divsChild>
        <w:div w:id="204954626">
          <w:marLeft w:val="0"/>
          <w:marRight w:val="0"/>
          <w:marTop w:val="0"/>
          <w:marBottom w:val="0"/>
          <w:divBdr>
            <w:top w:val="none" w:sz="0" w:space="0" w:color="auto"/>
            <w:left w:val="none" w:sz="0" w:space="0" w:color="auto"/>
            <w:bottom w:val="none" w:sz="0" w:space="0" w:color="auto"/>
            <w:right w:val="none" w:sz="0" w:space="0" w:color="auto"/>
          </w:divBdr>
        </w:div>
      </w:divsChild>
    </w:div>
    <w:div w:id="311066168">
      <w:bodyDiv w:val="1"/>
      <w:marLeft w:val="0"/>
      <w:marRight w:val="0"/>
      <w:marTop w:val="0"/>
      <w:marBottom w:val="0"/>
      <w:divBdr>
        <w:top w:val="none" w:sz="0" w:space="0" w:color="auto"/>
        <w:left w:val="none" w:sz="0" w:space="0" w:color="auto"/>
        <w:bottom w:val="none" w:sz="0" w:space="0" w:color="auto"/>
        <w:right w:val="none" w:sz="0" w:space="0" w:color="auto"/>
      </w:divBdr>
    </w:div>
    <w:div w:id="394938828">
      <w:bodyDiv w:val="1"/>
      <w:marLeft w:val="0"/>
      <w:marRight w:val="0"/>
      <w:marTop w:val="0"/>
      <w:marBottom w:val="0"/>
      <w:divBdr>
        <w:top w:val="none" w:sz="0" w:space="0" w:color="auto"/>
        <w:left w:val="none" w:sz="0" w:space="0" w:color="auto"/>
        <w:bottom w:val="none" w:sz="0" w:space="0" w:color="auto"/>
        <w:right w:val="none" w:sz="0" w:space="0" w:color="auto"/>
      </w:divBdr>
      <w:divsChild>
        <w:div w:id="707337606">
          <w:marLeft w:val="0"/>
          <w:marRight w:val="0"/>
          <w:marTop w:val="0"/>
          <w:marBottom w:val="0"/>
          <w:divBdr>
            <w:top w:val="none" w:sz="0" w:space="0" w:color="auto"/>
            <w:left w:val="none" w:sz="0" w:space="0" w:color="auto"/>
            <w:bottom w:val="none" w:sz="0" w:space="0" w:color="auto"/>
            <w:right w:val="none" w:sz="0" w:space="0" w:color="auto"/>
          </w:divBdr>
        </w:div>
        <w:div w:id="1089691852">
          <w:marLeft w:val="0"/>
          <w:marRight w:val="0"/>
          <w:marTop w:val="0"/>
          <w:marBottom w:val="0"/>
          <w:divBdr>
            <w:top w:val="none" w:sz="0" w:space="0" w:color="auto"/>
            <w:left w:val="none" w:sz="0" w:space="0" w:color="auto"/>
            <w:bottom w:val="none" w:sz="0" w:space="0" w:color="auto"/>
            <w:right w:val="none" w:sz="0" w:space="0" w:color="auto"/>
          </w:divBdr>
        </w:div>
        <w:div w:id="547641767">
          <w:marLeft w:val="0"/>
          <w:marRight w:val="0"/>
          <w:marTop w:val="0"/>
          <w:marBottom w:val="0"/>
          <w:divBdr>
            <w:top w:val="none" w:sz="0" w:space="0" w:color="auto"/>
            <w:left w:val="none" w:sz="0" w:space="0" w:color="auto"/>
            <w:bottom w:val="none" w:sz="0" w:space="0" w:color="auto"/>
            <w:right w:val="none" w:sz="0" w:space="0" w:color="auto"/>
          </w:divBdr>
        </w:div>
        <w:div w:id="1961645011">
          <w:marLeft w:val="0"/>
          <w:marRight w:val="0"/>
          <w:marTop w:val="0"/>
          <w:marBottom w:val="0"/>
          <w:divBdr>
            <w:top w:val="none" w:sz="0" w:space="0" w:color="auto"/>
            <w:left w:val="none" w:sz="0" w:space="0" w:color="auto"/>
            <w:bottom w:val="none" w:sz="0" w:space="0" w:color="auto"/>
            <w:right w:val="none" w:sz="0" w:space="0" w:color="auto"/>
          </w:divBdr>
        </w:div>
        <w:div w:id="1763601762">
          <w:marLeft w:val="0"/>
          <w:marRight w:val="0"/>
          <w:marTop w:val="0"/>
          <w:marBottom w:val="0"/>
          <w:divBdr>
            <w:top w:val="none" w:sz="0" w:space="0" w:color="auto"/>
            <w:left w:val="none" w:sz="0" w:space="0" w:color="auto"/>
            <w:bottom w:val="none" w:sz="0" w:space="0" w:color="auto"/>
            <w:right w:val="none" w:sz="0" w:space="0" w:color="auto"/>
          </w:divBdr>
        </w:div>
        <w:div w:id="1980645945">
          <w:marLeft w:val="0"/>
          <w:marRight w:val="0"/>
          <w:marTop w:val="0"/>
          <w:marBottom w:val="0"/>
          <w:divBdr>
            <w:top w:val="none" w:sz="0" w:space="0" w:color="auto"/>
            <w:left w:val="none" w:sz="0" w:space="0" w:color="auto"/>
            <w:bottom w:val="none" w:sz="0" w:space="0" w:color="auto"/>
            <w:right w:val="none" w:sz="0" w:space="0" w:color="auto"/>
          </w:divBdr>
        </w:div>
      </w:divsChild>
    </w:div>
    <w:div w:id="580261087">
      <w:bodyDiv w:val="1"/>
      <w:marLeft w:val="0"/>
      <w:marRight w:val="0"/>
      <w:marTop w:val="0"/>
      <w:marBottom w:val="0"/>
      <w:divBdr>
        <w:top w:val="none" w:sz="0" w:space="0" w:color="auto"/>
        <w:left w:val="none" w:sz="0" w:space="0" w:color="auto"/>
        <w:bottom w:val="none" w:sz="0" w:space="0" w:color="auto"/>
        <w:right w:val="none" w:sz="0" w:space="0" w:color="auto"/>
      </w:divBdr>
    </w:div>
    <w:div w:id="1457724771">
      <w:bodyDiv w:val="1"/>
      <w:marLeft w:val="0"/>
      <w:marRight w:val="0"/>
      <w:marTop w:val="0"/>
      <w:marBottom w:val="0"/>
      <w:divBdr>
        <w:top w:val="none" w:sz="0" w:space="0" w:color="auto"/>
        <w:left w:val="none" w:sz="0" w:space="0" w:color="auto"/>
        <w:bottom w:val="none" w:sz="0" w:space="0" w:color="auto"/>
        <w:right w:val="none" w:sz="0" w:space="0" w:color="auto"/>
      </w:divBdr>
    </w:div>
    <w:div w:id="2121290557">
      <w:bodyDiv w:val="1"/>
      <w:marLeft w:val="0"/>
      <w:marRight w:val="0"/>
      <w:marTop w:val="0"/>
      <w:marBottom w:val="0"/>
      <w:divBdr>
        <w:top w:val="none" w:sz="0" w:space="0" w:color="auto"/>
        <w:left w:val="none" w:sz="0" w:space="0" w:color="auto"/>
        <w:bottom w:val="none" w:sz="0" w:space="0" w:color="auto"/>
        <w:right w:val="none" w:sz="0" w:space="0" w:color="auto"/>
      </w:divBdr>
      <w:divsChild>
        <w:div w:id="1164779716">
          <w:marLeft w:val="0"/>
          <w:marRight w:val="0"/>
          <w:marTop w:val="0"/>
          <w:marBottom w:val="0"/>
          <w:divBdr>
            <w:top w:val="none" w:sz="0" w:space="0" w:color="auto"/>
            <w:left w:val="none" w:sz="0" w:space="0" w:color="auto"/>
            <w:bottom w:val="none" w:sz="0" w:space="0" w:color="auto"/>
            <w:right w:val="none" w:sz="0" w:space="0" w:color="auto"/>
          </w:divBdr>
        </w:div>
        <w:div w:id="603073032">
          <w:marLeft w:val="0"/>
          <w:marRight w:val="0"/>
          <w:marTop w:val="0"/>
          <w:marBottom w:val="0"/>
          <w:divBdr>
            <w:top w:val="none" w:sz="0" w:space="0" w:color="auto"/>
            <w:left w:val="none" w:sz="0" w:space="0" w:color="auto"/>
            <w:bottom w:val="none" w:sz="0" w:space="0" w:color="auto"/>
            <w:right w:val="none" w:sz="0" w:space="0" w:color="auto"/>
          </w:divBdr>
        </w:div>
        <w:div w:id="438649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rallocalplan.lancashire.gov.uk/media/1180/green-belt-designations-study-main-repor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02F07-6500-4B56-B47C-7F3ECC30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Angela Nicholls</cp:lastModifiedBy>
  <cp:revision>4</cp:revision>
  <dcterms:created xsi:type="dcterms:W3CDTF">2023-11-06T08:59:00Z</dcterms:created>
  <dcterms:modified xsi:type="dcterms:W3CDTF">2023-11-06T09:05:00Z</dcterms:modified>
</cp:coreProperties>
</file>